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r>
        <w:rPr>
          <w:rFonts w:hint="eastAsia"/>
          <w:lang w:val="en-US" w:eastAsia="zh-CN"/>
        </w:rPr>
        <w:t xml:space="preserve"> </w: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hint="eastAsia" w:ascii="黑体" w:hAnsi="黑体" w:eastAsia="黑体" w:cs="黑体"/>
          <w:sz w:val="56"/>
          <w:szCs w:val="72"/>
          <w:lang w:val="en-US" w:eastAsia="zh-CN"/>
        </w:rPr>
      </w:pPr>
      <w:r>
        <w:rPr>
          <w:rFonts w:hint="eastAsia" w:ascii="黑体" w:hAnsi="黑体" w:eastAsia="黑体" w:cs="黑体"/>
          <w:sz w:val="56"/>
          <w:szCs w:val="72"/>
          <w:lang w:val="en-US" w:eastAsia="zh-CN"/>
        </w:rPr>
        <w:t>石家庄市藁城区科学技术协会</w:t>
      </w:r>
    </w:p>
    <w:p>
      <w:pPr>
        <w:snapToGrid w:val="0"/>
        <w:spacing w:line="480" w:lineRule="auto"/>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numPr>
          <w:ilvl w:val="0"/>
          <w:numId w:val="1"/>
        </w:numPr>
        <w:ind w:firstLine="640"/>
        <w:rPr>
          <w:rFonts w:hint="eastAsia" w:ascii="Times New Roman" w:hAnsi="Times New Roman" w:eastAsia="仿宋" w:cs="Times New Roman"/>
          <w:color w:val="000000" w:themeColor="text1"/>
          <w:sz w:val="32"/>
          <w:szCs w:val="32"/>
          <w:lang w:eastAsia="zh-CN"/>
          <w14:textFill>
            <w14:solidFill>
              <w14:schemeClr w14:val="tx1"/>
            </w14:solidFill>
          </w14:textFill>
        </w:rPr>
      </w:pPr>
      <w:r>
        <w:rPr>
          <w:rFonts w:hint="eastAsia" w:ascii="Times New Roman" w:hAnsi="Times New Roman" w:eastAsia="仿宋" w:cs="Times New Roman"/>
          <w:color w:val="000000" w:themeColor="text1"/>
          <w:sz w:val="32"/>
          <w:szCs w:val="32"/>
          <w:lang w:eastAsia="zh-CN"/>
          <w14:textFill>
            <w14:solidFill>
              <w14:schemeClr w14:val="tx1"/>
            </w14:solidFill>
          </w14:textFill>
        </w:rPr>
        <w:t>科学技术普及；实施《全民科学素质行动计划纲要》，改善科普设施，提升科普能力，开展多种形式的科普活动。依据《全民科学素质行动计划纲要》和《科普法》并结合社会实际需要，开展科普活动，加强科普设施建设，提升科普能力。</w:t>
      </w:r>
    </w:p>
    <w:p>
      <w:pPr>
        <w:ind w:firstLine="640"/>
        <w:rPr>
          <w:rFonts w:ascii="仿宋" w:hAnsi="仿宋"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w:t>
      </w:r>
      <w:r>
        <w:rPr>
          <w:rFonts w:hint="eastAsia" w:ascii="Times New Roman" w:hAnsi="Times New Roman" w:eastAsia="仿宋" w:cs="Times New Roman"/>
          <w:color w:val="000000" w:themeColor="text1"/>
          <w:sz w:val="32"/>
          <w:szCs w:val="32"/>
          <w:lang w:eastAsia="zh-CN"/>
          <w14:textFill>
            <w14:solidFill>
              <w14:schemeClr w14:val="tx1"/>
            </w14:solidFill>
          </w14:textFill>
        </w:rPr>
        <w:t>综合业务管理，负责系统综合业务管理和机关综合管理。为科技工作者服务的能力更强，把科协建成科技工作者之家；加强科协机关自身建设，提高机关服务能力，组织协调规划和指导全区科协系统的普及工作；指导各乡（镇、区、街道）科普协会和农村专业技术协会的工作；组织全市性的科技普及活动；组织、协调全是学术研讨、技术交流活动；负责市级学会的组织管理和日常联络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p>
      <w:pPr>
        <w:jc w:val="center"/>
        <w:outlineLvl w:val="0"/>
        <w:rPr>
          <w:rFonts w:ascii="Times New Roman" w:hAnsi="Times New Roman" w:eastAsia="方正小标宋_GBK" w:cs="Times New Roman"/>
          <w:color w:val="000000" w:themeColor="text1"/>
          <w:sz w:val="32"/>
          <w:szCs w:val="24"/>
          <w14:textFill>
            <w14:solidFill>
              <w14:schemeClr w14:val="tx1"/>
            </w14:solidFill>
          </w14:textFill>
        </w:rPr>
      </w:pPr>
      <w:r>
        <w:rPr>
          <w:rFonts w:ascii="Times New Roman" w:hAnsi="Times New Roman" w:eastAsia="方正小标宋_GBK" w:cs="Times New Roman"/>
          <w:color w:val="000000" w:themeColor="text1"/>
          <w:sz w:val="32"/>
          <w:szCs w:val="24"/>
          <w14:textFill>
            <w14:solidFill>
              <w14:schemeClr w14:val="tx1"/>
            </w14:solidFill>
          </w14:textFill>
        </w:rPr>
        <w:t>部门</w:t>
      </w:r>
      <w:r>
        <w:rPr>
          <w:rFonts w:hint="eastAsia" w:ascii="Times New Roman" w:hAnsi="Times New Roman" w:eastAsia="方正小标宋_GBK" w:cs="Times New Roman"/>
          <w:color w:val="000000" w:themeColor="text1"/>
          <w:sz w:val="32"/>
          <w:szCs w:val="24"/>
          <w14:textFill>
            <w14:solidFill>
              <w14:schemeClr w14:val="tx1"/>
            </w14:solidFill>
          </w14:textFill>
        </w:rPr>
        <w:t>机构设置情况</w:t>
      </w:r>
    </w:p>
    <w:tbl>
      <w:tblPr>
        <w:tblStyle w:val="6"/>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单位名称</w:t>
            </w:r>
          </w:p>
        </w:tc>
        <w:tc>
          <w:tcPr>
            <w:tcW w:w="1134"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单位性质</w:t>
            </w:r>
          </w:p>
        </w:tc>
        <w:tc>
          <w:tcPr>
            <w:tcW w:w="1276"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单位规格</w:t>
            </w:r>
          </w:p>
        </w:tc>
        <w:tc>
          <w:tcPr>
            <w:tcW w:w="2902" w:type="dxa"/>
            <w:vMerge w:val="restart"/>
            <w:vAlign w:val="center"/>
          </w:tcPr>
          <w:p>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1134"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1276"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2902" w:type="dxa"/>
            <w:vMerge w:val="continue"/>
            <w:vAlign w:val="center"/>
          </w:tcPr>
          <w:p>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4417" w:type="dxa"/>
            <w:vAlign w:val="center"/>
          </w:tcPr>
          <w:p>
            <w:pPr>
              <w:spacing w:line="300" w:lineRule="exact"/>
              <w:jc w:val="left"/>
              <w:rPr>
                <w:rFonts w:hint="eastAsia" w:ascii="Times New Roman" w:hAnsi="Times New Roman" w:eastAsia="方正书宋_GBK" w:cs="Times New Roman"/>
                <w:color w:val="000000" w:themeColor="text1"/>
                <w:szCs w:val="24"/>
                <w:lang w:eastAsia="zh-CN"/>
                <w14:textFill>
                  <w14:solidFill>
                    <w14:schemeClr w14:val="tx1"/>
                  </w14:solidFill>
                </w14:textFill>
              </w:rPr>
            </w:pPr>
            <w:r>
              <w:rPr>
                <w:rFonts w:hint="eastAsia" w:ascii="方正书宋_GBK" w:eastAsia="方正书宋_GBK"/>
                <w:color w:val="000000" w:themeColor="text1"/>
                <w:lang w:eastAsia="zh-CN"/>
                <w14:textFill>
                  <w14:solidFill>
                    <w14:schemeClr w14:val="tx1"/>
                  </w14:solidFill>
                </w14:textFill>
              </w:rPr>
              <w:t>石家庄市藁城区科学技术协会</w:t>
            </w:r>
          </w:p>
        </w:tc>
        <w:tc>
          <w:tcPr>
            <w:tcW w:w="1134" w:type="dxa"/>
            <w:vAlign w:val="center"/>
          </w:tcPr>
          <w:p>
            <w:pPr>
              <w:spacing w:line="300" w:lineRule="exact"/>
              <w:jc w:val="center"/>
              <w:rPr>
                <w:rFonts w:hint="eastAsia" w:ascii="Times New Roman" w:hAnsi="Times New Roman" w:eastAsia="方正书宋_GBK" w:cs="Times New Roman"/>
                <w:color w:val="000000" w:themeColor="text1"/>
                <w:szCs w:val="24"/>
                <w:lang w:eastAsia="zh-CN"/>
                <w14:textFill>
                  <w14:solidFill>
                    <w14:schemeClr w14:val="tx1"/>
                  </w14:solidFill>
                </w14:textFill>
              </w:rPr>
            </w:pPr>
            <w:r>
              <w:rPr>
                <w:rFonts w:hint="eastAsia" w:ascii="方正书宋_GBK" w:eastAsia="方正书宋_GBK"/>
                <w:color w:val="000000" w:themeColor="text1"/>
                <w:lang w:eastAsia="zh-CN"/>
                <w14:textFill>
                  <w14:solidFill>
                    <w14:schemeClr w14:val="tx1"/>
                  </w14:solidFill>
                </w14:textFill>
              </w:rPr>
              <w:t>事业</w:t>
            </w:r>
          </w:p>
        </w:tc>
        <w:tc>
          <w:tcPr>
            <w:tcW w:w="1276"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lang w:eastAsia="zh-CN"/>
                <w14:textFill>
                  <w14:solidFill>
                    <w14:schemeClr w14:val="tx1"/>
                  </w14:solidFill>
                </w14:textFill>
              </w:rPr>
              <w:t>正科</w:t>
            </w:r>
            <w:r>
              <w:rPr>
                <w:rFonts w:hint="eastAsia" w:ascii="方正书宋_GBK" w:eastAsia="方正书宋_GBK"/>
                <w:color w:val="000000" w:themeColor="text1"/>
                <w14:textFill>
                  <w14:solidFill>
                    <w14:schemeClr w14:val="tx1"/>
                  </w14:solidFill>
                </w14:textFill>
              </w:rPr>
              <w:t>级</w:t>
            </w:r>
          </w:p>
        </w:tc>
        <w:tc>
          <w:tcPr>
            <w:tcW w:w="2902"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color w:val="000000" w:themeColor="text1"/>
                <w:szCs w:val="24"/>
                <w14:textFill>
                  <w14:solidFill>
                    <w14:schemeClr w14:val="tx1"/>
                  </w14:solidFill>
                </w14:textFill>
              </w:rPr>
            </w:pPr>
          </w:p>
        </w:tc>
        <w:tc>
          <w:tcPr>
            <w:tcW w:w="1134"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p>
        </w:tc>
        <w:tc>
          <w:tcPr>
            <w:tcW w:w="1276"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p>
        </w:tc>
        <w:tc>
          <w:tcPr>
            <w:tcW w:w="2902"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color w:val="000000" w:themeColor="text1"/>
                <w14:textFill>
                  <w14:solidFill>
                    <w14:schemeClr w14:val="tx1"/>
                  </w14:solidFill>
                </w14:textFill>
              </w:rPr>
            </w:pPr>
          </w:p>
        </w:tc>
        <w:tc>
          <w:tcPr>
            <w:tcW w:w="1134" w:type="dxa"/>
            <w:vAlign w:val="center"/>
          </w:tcPr>
          <w:p>
            <w:pPr>
              <w:spacing w:line="300" w:lineRule="exact"/>
              <w:jc w:val="center"/>
              <w:rPr>
                <w:rFonts w:hint="eastAsia" w:ascii="Times New Roman" w:hAnsi="Times New Roman" w:eastAsia="方正书宋_GBK" w:cs="Times New Roman"/>
                <w:color w:val="000000" w:themeColor="text1"/>
                <w:szCs w:val="24"/>
                <w:lang w:eastAsia="zh-CN"/>
                <w14:textFill>
                  <w14:solidFill>
                    <w14:schemeClr w14:val="tx1"/>
                  </w14:solidFill>
                </w14:textFill>
              </w:rPr>
            </w:pPr>
          </w:p>
        </w:tc>
        <w:tc>
          <w:tcPr>
            <w:tcW w:w="1276" w:type="dxa"/>
            <w:vAlign w:val="center"/>
          </w:tcPr>
          <w:p>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p>
        </w:tc>
        <w:tc>
          <w:tcPr>
            <w:tcW w:w="2902" w:type="dxa"/>
            <w:vAlign w:val="center"/>
          </w:tcPr>
          <w:p>
            <w:pPr>
              <w:spacing w:line="300" w:lineRule="exact"/>
              <w:jc w:val="center"/>
              <w:rPr>
                <w:rFonts w:hint="eastAsia" w:ascii="方正书宋_GBK" w:eastAsia="方正书宋_GBK"/>
                <w:color w:val="000000" w:themeColor="text1"/>
                <w:lang w:eastAsia="zh-CN"/>
                <w14:textFill>
                  <w14:solidFill>
                    <w14:schemeClr w14:val="tx1"/>
                  </w14:solidFill>
                </w14:textFill>
              </w:rPr>
            </w:pPr>
          </w:p>
        </w:tc>
      </w:tr>
    </w:tbl>
    <w:p>
      <w:pPr>
        <w:numPr>
          <w:ilvl w:val="0"/>
          <w:numId w:val="0"/>
        </w:numPr>
        <w:snapToGrid w:val="0"/>
        <w:spacing w:line="520" w:lineRule="exact"/>
        <w:rPr>
          <w:rFonts w:hint="default" w:ascii="黑体" w:hAnsi="黑体" w:eastAsia="黑体"/>
          <w:sz w:val="32"/>
          <w:szCs w:val="32"/>
          <w:lang w:val="en-US" w:eastAsia="zh-CN"/>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万元。与2018年度决算相比，收支各</w:t>
      </w:r>
      <w:r>
        <w:rPr>
          <w:rFonts w:hint="eastAsia" w:ascii="仿宋_GB2312" w:hAnsi="Times New Roman" w:eastAsia="仿宋_GB2312" w:cs="DengXian-Regular"/>
          <w:sz w:val="32"/>
          <w:szCs w:val="32"/>
          <w:lang w:eastAsia="zh-CN"/>
        </w:rPr>
        <w:t>增加</w:t>
      </w:r>
      <w:r>
        <w:rPr>
          <w:rFonts w:hint="eastAsia" w:ascii="仿宋_GB2312" w:hAnsi="Times New Roman" w:eastAsia="仿宋_GB2312" w:cs="DengXian-Regular"/>
          <w:sz w:val="32"/>
          <w:szCs w:val="32"/>
          <w:lang w:val="en-US" w:eastAsia="zh-CN"/>
        </w:rPr>
        <w:t>12.72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13.99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人员经费增加</w:t>
      </w:r>
      <w:r>
        <w:rPr>
          <w:rFonts w:hint="eastAsia" w:ascii="仿宋" w:hAnsi="仿宋" w:eastAsia="仿宋" w:cs="仿宋"/>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97.58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94.2</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如图所示：</w:t>
      </w:r>
    </w:p>
    <w:p>
      <w:pPr>
        <w:adjustRightInd w:val="0"/>
        <w:snapToGrid w:val="0"/>
        <w:spacing w:line="580" w:lineRule="exact"/>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935" distR="114935" simplePos="0" relativeHeight="251693056" behindDoc="0" locked="0" layoutInCell="1" allowOverlap="1">
            <wp:simplePos x="0" y="0"/>
            <wp:positionH relativeFrom="column">
              <wp:posOffset>84455</wp:posOffset>
            </wp:positionH>
            <wp:positionV relativeFrom="paragraph">
              <wp:posOffset>260985</wp:posOffset>
            </wp:positionV>
            <wp:extent cx="5476240" cy="3000375"/>
            <wp:effectExtent l="4445" t="4445" r="5715" b="5080"/>
            <wp:wrapNone/>
            <wp:docPr id="33" name="图表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12.72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13.99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2019年人员经费增加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12.72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12.72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人员经费增加。</w:t>
      </w:r>
    </w:p>
    <w:p>
      <w:pPr>
        <w:adjustRightInd w:val="0"/>
        <w:snapToGrid w:val="0"/>
        <w:spacing w:line="580" w:lineRule="exact"/>
        <w:ind w:firstLine="643" w:firstLineChars="200"/>
        <w:rPr>
          <w:rFonts w:hint="eastAsia" w:ascii="仿宋_GB2312" w:hAnsi="Times New Roman" w:eastAsia="仿宋_GB2312" w:cs="DengXian-Regular"/>
          <w:sz w:val="32"/>
          <w:szCs w:val="32"/>
          <w:highlight w:val="yellow"/>
          <w:lang w:eastAsia="zh-CN"/>
        </w:rPr>
      </w:pPr>
      <w:r>
        <w:rPr>
          <w:rFonts w:hint="eastAsia" w:ascii="楷体_GB2312" w:hAnsi="Times New Roman" w:eastAsia="楷体_GB2312" w:cs="DengXian-Bold"/>
          <w:b/>
          <w:bCs/>
          <w:sz w:val="32"/>
          <w:szCs w:val="32"/>
          <w:lang w:eastAsia="zh-CN"/>
        </w:rPr>
        <w:drawing>
          <wp:anchor distT="0" distB="0" distL="114935" distR="114935" simplePos="0" relativeHeight="251694080" behindDoc="0" locked="0" layoutInCell="1" allowOverlap="1">
            <wp:simplePos x="0" y="0"/>
            <wp:positionH relativeFrom="column">
              <wp:posOffset>567055</wp:posOffset>
            </wp:positionH>
            <wp:positionV relativeFrom="paragraph">
              <wp:posOffset>210185</wp:posOffset>
            </wp:positionV>
            <wp:extent cx="4495800" cy="3371850"/>
            <wp:effectExtent l="4445" t="4445" r="14605" b="14605"/>
            <wp:wrapNone/>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snapToGrid w:val="0"/>
        <w:spacing w:line="580" w:lineRule="exact"/>
        <w:rPr>
          <w:rFonts w:hint="eastAsia" w:ascii="楷体_GB2312" w:hAnsi="Times New Roman" w:eastAsia="楷体_GB2312" w:cs="DengXian-Bold"/>
          <w:b/>
          <w:bCs/>
          <w:sz w:val="32"/>
          <w:szCs w:val="32"/>
          <w:lang w:eastAsia="zh-CN"/>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 w:hAnsi="仿宋" w:eastAsia="仿宋" w:cs="仿宋"/>
          <w:kern w:val="0"/>
          <w:sz w:val="32"/>
          <w:szCs w:val="32"/>
          <w:lang w:val="en-US"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p>
    <w:p>
      <w:pPr>
        <w:adjustRightInd w:val="0"/>
        <w:snapToGrid w:val="0"/>
        <w:spacing w:line="580" w:lineRule="exact"/>
        <w:rPr>
          <w:rFonts w:hint="eastAsia" w:ascii="仿宋" w:hAnsi="仿宋" w:eastAsia="仿宋" w:cs="仿宋"/>
          <w:kern w:val="0"/>
          <w:sz w:val="32"/>
          <w:szCs w:val="32"/>
          <w:lang w:val="en-US" w:eastAsia="zh-CN"/>
        </w:rPr>
      </w:pPr>
    </w:p>
    <w:p>
      <w:pPr>
        <w:adjustRightInd w:val="0"/>
        <w:snapToGrid w:val="0"/>
        <w:spacing w:line="580" w:lineRule="exact"/>
        <w:ind w:firstLine="643" w:firstLineChars="200"/>
        <w:rPr>
          <w:rFonts w:hint="eastAsia" w:ascii="仿宋" w:hAnsi="仿宋" w:eastAsia="仿宋" w:cs="仿宋"/>
          <w:kern w:val="0"/>
          <w:sz w:val="32"/>
          <w:szCs w:val="32"/>
          <w:lang w:val="en-US" w:eastAsia="zh-CN"/>
        </w:rPr>
      </w:pPr>
      <w:r>
        <w:rPr>
          <w:rFonts w:hint="eastAsia" w:ascii="楷体_GB2312" w:hAnsi="Times New Roman" w:eastAsia="楷体_GB2312" w:cs="DengXian-Bold"/>
          <w:b/>
          <w:bCs/>
          <w:sz w:val="32"/>
          <w:szCs w:val="32"/>
          <w:lang w:eastAsia="zh-CN"/>
        </w:rPr>
        <w:drawing>
          <wp:anchor distT="0" distB="0" distL="114935" distR="114935" simplePos="0" relativeHeight="251695104" behindDoc="0" locked="0" layoutInCell="1" allowOverlap="1">
            <wp:simplePos x="0" y="0"/>
            <wp:positionH relativeFrom="column">
              <wp:posOffset>544195</wp:posOffset>
            </wp:positionH>
            <wp:positionV relativeFrom="paragraph">
              <wp:posOffset>42545</wp:posOffset>
            </wp:positionV>
            <wp:extent cx="4495800" cy="3371850"/>
            <wp:effectExtent l="4445" t="4445" r="14605" b="14605"/>
            <wp:wrapNone/>
            <wp:docPr id="37" name="图表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103.58</w:t>
      </w:r>
      <w:r>
        <w:rPr>
          <w:rFonts w:hint="eastAsia" w:ascii="仿宋_GB2312" w:hAnsi="Times New Roman" w:eastAsia="仿宋_GB2312" w:cs="DengXian-Regular"/>
          <w:sz w:val="32"/>
          <w:szCs w:val="32"/>
        </w:rPr>
        <w:t>万元，主要用</w:t>
      </w:r>
      <w:r>
        <w:rPr>
          <w:rFonts w:hint="eastAsia" w:ascii="仿宋_GB2312" w:eastAsia="仿宋_GB2312" w:cs="DengXian-Regular"/>
          <w:sz w:val="32"/>
          <w:szCs w:val="32"/>
        </w:rPr>
        <w:t>于</w:t>
      </w:r>
      <w:r>
        <w:rPr>
          <w:rFonts w:hint="eastAsia" w:ascii="Times New Roman" w:hAnsi="Times New Roman" w:eastAsia="仿宋" w:cs="Times New Roman"/>
          <w:color w:val="000000" w:themeColor="text1"/>
          <w:sz w:val="32"/>
          <w:szCs w:val="32"/>
          <w:lang w:eastAsia="zh-CN"/>
          <w14:textFill>
            <w14:solidFill>
              <w14:schemeClr w14:val="tx1"/>
            </w14:solidFill>
          </w14:textFill>
        </w:rPr>
        <w:t>科学技术普及</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103.58</w:t>
      </w:r>
      <w:r>
        <w:rPr>
          <w:rFonts w:hint="eastAsia" w:ascii="仿宋_GB2312" w:eastAsia="仿宋_GB2312" w:cs="DengXian-Regular"/>
          <w:sz w:val="32"/>
          <w:szCs w:val="32"/>
        </w:rPr>
        <w:t>万元，占100%.</w:t>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97.58</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88.94</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8.64</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w:t>
      </w:r>
      <w:r>
        <w:rPr>
          <w:rFonts w:hint="eastAsia" w:ascii="仿宋_GB2312" w:hAnsi="Times New Roman" w:eastAsia="仿宋_GB2312" w:cs="DengXian-Regular"/>
          <w:sz w:val="32"/>
          <w:szCs w:val="32"/>
        </w:rPr>
        <w:t>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持平；与</w:t>
      </w:r>
      <w:r>
        <w:rPr>
          <w:rFonts w:hint="eastAsia" w:ascii="仿宋_GB2312" w:hAnsi="Times New Roman" w:eastAsia="仿宋_GB2312" w:cs="DengXian-Regular"/>
          <w:sz w:val="32"/>
          <w:szCs w:val="32"/>
        </w:rPr>
        <w:t>2018年度</w:t>
      </w:r>
      <w:r>
        <w:rPr>
          <w:rFonts w:hint="eastAsia" w:ascii="仿宋_GB2312" w:hAnsi="Times New Roman" w:eastAsia="仿宋_GB2312" w:cs="DengXian-Regular"/>
          <w:sz w:val="32"/>
          <w:szCs w:val="32"/>
          <w:lang w:eastAsia="zh-CN"/>
        </w:rPr>
        <w:t>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2019年度公务用车购置及运行维护费</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w:t>
      </w:r>
      <w:r>
        <w:rPr>
          <w:rFonts w:hint="eastAsia" w:ascii="仿宋_GB2312" w:hAnsi="Times New Roman" w:eastAsia="仿宋_GB2312" w:cs="DengXian-Regular"/>
          <w:sz w:val="32"/>
          <w:szCs w:val="32"/>
          <w:lang w:eastAsia="zh-CN"/>
        </w:rPr>
        <w:t>无公务用车，</w:t>
      </w:r>
      <w:r>
        <w:rPr>
          <w:rFonts w:hint="eastAsia" w:ascii="仿宋_GB2312" w:hAnsi="Times New Roman" w:eastAsia="仿宋_GB2312" w:cs="DengXian-Regular"/>
          <w:sz w:val="32"/>
          <w:szCs w:val="32"/>
        </w:rPr>
        <w:t>2019年度单位公务用车保有量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 预算绩效管理工作开展情况。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根据预算绩效管理要求，本部门组织对2019年度一般公共预算项目支出全面开展绩效自评，其中</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rPr>
        <w:t>项目1个，共涉及资金</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万元，占一般公共预算项目支出总额的</w:t>
      </w:r>
      <w:r>
        <w:rPr>
          <w:rFonts w:hint="eastAsia" w:ascii="仿宋_GB2312" w:hAnsi="Times New Roman" w:eastAsia="仿宋_GB2312" w:cs="DengXian-Regular"/>
          <w:sz w:val="32"/>
          <w:szCs w:val="32"/>
          <w:lang w:val="en-US" w:eastAsia="zh-CN"/>
        </w:rPr>
        <w:t>5.8</w:t>
      </w:r>
      <w:r>
        <w:rPr>
          <w:rFonts w:hint="eastAsia" w:ascii="仿宋_GB2312" w:hAnsi="Times New Roman" w:eastAsia="仿宋_GB2312" w:cs="DengXian-Regular"/>
          <w:sz w:val="32"/>
          <w:szCs w:val="32"/>
        </w:rPr>
        <w:t>%。组织对“</w:t>
      </w:r>
      <w:r>
        <w:rPr>
          <w:rFonts w:hint="eastAsia" w:ascii="仿宋_GB2312" w:hAnsi="Times New Roman" w:eastAsia="仿宋_GB2312" w:cs="DengXian-Regular"/>
          <w:sz w:val="32"/>
          <w:szCs w:val="32"/>
          <w:lang w:eastAsia="zh-CN"/>
        </w:rPr>
        <w:t>科普活动</w:t>
      </w:r>
      <w:r>
        <w:rPr>
          <w:rFonts w:hint="eastAsia" w:ascii="仿宋_GB2312" w:hAnsi="Times New Roman" w:eastAsia="仿宋_GB2312" w:cs="DengXian-Regular"/>
          <w:sz w:val="32"/>
          <w:szCs w:val="32"/>
        </w:rPr>
        <w:t>”项目开展了部门评价，涉及一般公共预算支出</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从评价情况来看，2019 年我单位积极履职，通过加强预算收支管理，不断梳理内部管理流程，建立健全内部管理制度，部门整体支出管理水平得到提升。经过自评，“</w:t>
      </w:r>
      <w:r>
        <w:rPr>
          <w:rFonts w:hint="eastAsia" w:ascii="仿宋_GB2312" w:hAnsi="Times New Roman" w:eastAsia="仿宋_GB2312" w:cs="DengXian-Regular"/>
          <w:sz w:val="32"/>
          <w:szCs w:val="32"/>
          <w:lang w:eastAsia="zh-CN"/>
        </w:rPr>
        <w:t>科普活动</w:t>
      </w:r>
      <w:r>
        <w:rPr>
          <w:rFonts w:hint="eastAsia" w:ascii="仿宋_GB2312" w:hAnsi="Times New Roman" w:eastAsia="仿宋_GB2312" w:cs="DengXian-Regular"/>
          <w:sz w:val="32"/>
          <w:szCs w:val="32"/>
        </w:rPr>
        <w:t>”项目自评得分90 分，较好得完成了年度工作目标，综合评价等级为“优秀”。</w:t>
      </w:r>
    </w:p>
    <w:p>
      <w:pPr>
        <w:adjustRightInd w:val="0"/>
        <w:snapToGrid w:val="0"/>
        <w:spacing w:line="580" w:lineRule="exact"/>
        <w:ind w:firstLine="321" w:firstLineChars="100"/>
        <w:jc w:val="left"/>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620" w:lineRule="exact"/>
        <w:ind w:firstLine="640"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sz w:val="32"/>
          <w:szCs w:val="32"/>
          <w:lang w:val="en-US" w:eastAsia="zh-CN"/>
        </w:rPr>
        <w:t>本部门在今年部门决算公开中反映 “科普活动”项目1个项目绩效自评结果。</w:t>
      </w:r>
    </w:p>
    <w:p>
      <w:pPr>
        <w:adjustRightInd w:val="0"/>
        <w:snapToGrid w:val="0"/>
        <w:spacing w:line="62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lang w:val="en-US" w:eastAsia="zh-CN"/>
        </w:rPr>
        <w:t>“科普活动”项目自评综述：根据年初设定的绩效目标，科普活动经费项目绩效自评得分为90分（绩效自评表附后）。全年预算数为6万元，执行数为6万元，完成预算的100%。项目绩效目标完成情况：在开展预算自评工作时，针对区科协的工作实际，设计能够体现项目特点绩效评价指标体系。绩效指标权重根据本项目实际情况确定，总分设定为100分。产出指标40分（包括组织科普活动率10分、创新性科普资源推广率10分、资料发放完成率10分、及时率10分、）、预算执行率指标10分（包括管理制度健全性100% 10分）、</w:t>
      </w:r>
      <w:r>
        <w:rPr>
          <w:rFonts w:hint="eastAsia" w:ascii="仿宋_GB2312" w:hAnsi="Times New Roman" w:eastAsia="仿宋_GB2312" w:cs="DengXian-Regular"/>
          <w:sz w:val="32"/>
          <w:szCs w:val="32"/>
        </w:rPr>
        <w:t>效益指标40分（包含</w:t>
      </w:r>
      <w:r>
        <w:rPr>
          <w:rFonts w:hint="eastAsia" w:ascii="仿宋_GB2312" w:hAnsi="Times New Roman" w:eastAsia="仿宋_GB2312" w:cs="DengXian-Regular"/>
          <w:sz w:val="32"/>
          <w:szCs w:val="32"/>
          <w:lang w:val="en-US" w:eastAsia="zh-CN"/>
        </w:rPr>
        <w:t>内容实用性40分</w:t>
      </w:r>
      <w:r>
        <w:rPr>
          <w:rFonts w:hint="eastAsia" w:ascii="仿宋_GB2312" w:hAnsi="Times New Roman" w:eastAsia="仿宋_GB2312" w:cs="DengXian-Regular"/>
          <w:sz w:val="32"/>
          <w:szCs w:val="32"/>
        </w:rPr>
        <w:t>）、满意度指标10分</w:t>
      </w:r>
      <w:r>
        <w:rPr>
          <w:rFonts w:hint="eastAsia" w:ascii="仿宋_GB2312" w:hAnsi="Times New Roman" w:eastAsia="仿宋_GB2312" w:cs="DengXian-Regular"/>
          <w:sz w:val="32"/>
          <w:szCs w:val="32"/>
          <w:lang w:val="en-US" w:eastAsia="zh-CN"/>
        </w:rPr>
        <w:t>(</w:t>
      </w:r>
      <w:r>
        <w:rPr>
          <w:rFonts w:hint="eastAsia" w:ascii="仿宋_GB2312" w:hAnsi="Times New Roman" w:eastAsia="仿宋_GB2312" w:cs="DengXian-Regular"/>
          <w:sz w:val="32"/>
          <w:szCs w:val="32"/>
          <w:lang w:eastAsia="zh-CN"/>
        </w:rPr>
        <w:t>包括受益群众满意度</w:t>
      </w:r>
      <w:r>
        <w:rPr>
          <w:rFonts w:hint="eastAsia" w:ascii="仿宋_GB2312" w:hAnsi="Times New Roman" w:eastAsia="仿宋_GB2312" w:cs="DengXian-Regular"/>
          <w:sz w:val="32"/>
          <w:szCs w:val="32"/>
          <w:lang w:val="en-US" w:eastAsia="zh-CN"/>
        </w:rPr>
        <w:t>10分)</w:t>
      </w:r>
      <w:r>
        <w:rPr>
          <w:rFonts w:hint="eastAsia" w:ascii="仿宋_GB2312" w:hAnsi="Times New Roman" w:eastAsia="仿宋_GB2312" w:cs="DengXian-Regular"/>
          <w:sz w:val="32"/>
          <w:szCs w:val="32"/>
        </w:rPr>
        <w:t>。发现的主要问题及原因：一是</w:t>
      </w:r>
      <w:r>
        <w:rPr>
          <w:rFonts w:hint="eastAsia" w:ascii="仿宋_GB2312" w:hAnsi="Times New Roman" w:eastAsia="仿宋_GB2312" w:cs="DengXian-Regular"/>
          <w:sz w:val="32"/>
          <w:szCs w:val="32"/>
          <w:lang w:eastAsia="zh-CN"/>
        </w:rPr>
        <w:t>通过率不足下一步加大工作力度</w:t>
      </w:r>
      <w:r>
        <w:rPr>
          <w:rFonts w:hint="eastAsia" w:ascii="仿宋_GB2312" w:hAnsi="Times New Roman" w:eastAsia="仿宋_GB2312" w:cs="DengXian-Regular"/>
          <w:sz w:val="32"/>
          <w:szCs w:val="32"/>
        </w:rPr>
        <w:t>。二是</w:t>
      </w:r>
      <w:r>
        <w:rPr>
          <w:rFonts w:hint="eastAsia" w:ascii="仿宋_GB2312" w:hAnsi="Times New Roman" w:eastAsia="仿宋_GB2312" w:cs="DengXian-Regular"/>
          <w:sz w:val="32"/>
          <w:szCs w:val="32"/>
          <w:lang w:eastAsia="zh-CN"/>
        </w:rPr>
        <w:t>材料实用性还有待提高</w:t>
      </w:r>
      <w:r>
        <w:rPr>
          <w:rFonts w:hint="eastAsia" w:ascii="仿宋_GB2312" w:hAnsi="Times New Roman" w:eastAsia="仿宋_GB2312" w:cs="DengXian-Regular"/>
          <w:sz w:val="32"/>
          <w:szCs w:val="32"/>
        </w:rPr>
        <w:t>。三是</w:t>
      </w:r>
      <w:r>
        <w:rPr>
          <w:rFonts w:hint="eastAsia" w:ascii="仿宋_GB2312" w:hAnsi="Times New Roman" w:eastAsia="仿宋_GB2312" w:cs="DengXian-Regular"/>
          <w:sz w:val="32"/>
          <w:szCs w:val="32"/>
          <w:lang w:eastAsia="zh-CN"/>
        </w:rPr>
        <w:t>进一步针对</w:t>
      </w:r>
      <w:r>
        <w:rPr>
          <w:rFonts w:hint="eastAsia" w:ascii="仿宋_GB2312" w:hAnsi="Times New Roman" w:eastAsia="仿宋_GB2312" w:cs="DengXian-Regular"/>
          <w:sz w:val="32"/>
          <w:szCs w:val="32"/>
        </w:rPr>
        <w:t>全区</w:t>
      </w:r>
      <w:r>
        <w:rPr>
          <w:rFonts w:hint="eastAsia" w:ascii="仿宋_GB2312" w:hAnsi="Times New Roman" w:eastAsia="仿宋_GB2312" w:cs="DengXian-Regular"/>
          <w:sz w:val="32"/>
          <w:szCs w:val="32"/>
          <w:lang w:eastAsia="zh-CN"/>
        </w:rPr>
        <w:t>群众的需求进一步加强群众满意度。</w:t>
      </w:r>
      <w:r>
        <w:rPr>
          <w:rFonts w:hint="eastAsia" w:ascii="仿宋_GB2312" w:hAnsi="Times New Roman" w:eastAsia="仿宋_GB2312" w:cs="DengXian-Regular"/>
          <w:sz w:val="32"/>
          <w:szCs w:val="32"/>
        </w:rPr>
        <w:t>下一步改进措施：加强基层</w:t>
      </w:r>
      <w:r>
        <w:rPr>
          <w:rFonts w:hint="eastAsia" w:ascii="仿宋_GB2312" w:hAnsi="Times New Roman" w:eastAsia="仿宋_GB2312" w:cs="DengXian-Regular"/>
          <w:sz w:val="32"/>
          <w:szCs w:val="32"/>
          <w:lang w:eastAsia="zh-CN"/>
        </w:rPr>
        <w:t>科协</w:t>
      </w:r>
      <w:r>
        <w:rPr>
          <w:rFonts w:hint="eastAsia" w:ascii="仿宋_GB2312" w:hAnsi="Times New Roman" w:eastAsia="仿宋_GB2312" w:cs="DengXian-Regular"/>
          <w:sz w:val="32"/>
          <w:szCs w:val="32"/>
        </w:rPr>
        <w:t>组织建设，完善各乡镇</w:t>
      </w:r>
      <w:r>
        <w:rPr>
          <w:rFonts w:hint="eastAsia" w:ascii="仿宋_GB2312" w:hAnsi="Times New Roman" w:eastAsia="仿宋_GB2312" w:cs="DengXian-Regular"/>
          <w:sz w:val="32"/>
          <w:szCs w:val="32"/>
          <w:lang w:eastAsia="zh-CN"/>
        </w:rPr>
        <w:t>科协</w:t>
      </w:r>
      <w:r>
        <w:rPr>
          <w:rFonts w:hint="eastAsia" w:ascii="仿宋_GB2312" w:hAnsi="Times New Roman" w:eastAsia="仿宋_GB2312" w:cs="DengXian-Regular"/>
          <w:sz w:val="32"/>
          <w:szCs w:val="32"/>
        </w:rPr>
        <w:t>组织建设；加强全区</w:t>
      </w:r>
      <w:r>
        <w:rPr>
          <w:rFonts w:hint="eastAsia" w:ascii="仿宋_GB2312" w:hAnsi="Times New Roman" w:eastAsia="仿宋_GB2312" w:cs="DengXian-Regular"/>
          <w:sz w:val="32"/>
          <w:szCs w:val="32"/>
          <w:lang w:eastAsia="zh-CN"/>
        </w:rPr>
        <w:t>科普活动</w:t>
      </w:r>
      <w:r>
        <w:rPr>
          <w:rFonts w:hint="eastAsia" w:ascii="仿宋_GB2312" w:hAnsi="Times New Roman" w:eastAsia="仿宋_GB2312" w:cs="DengXian-Regular"/>
          <w:sz w:val="32"/>
          <w:szCs w:val="32"/>
        </w:rPr>
        <w:t>，</w:t>
      </w:r>
      <w:r>
        <w:rPr>
          <w:rFonts w:hint="eastAsia" w:ascii="Times New Roman" w:hAnsi="Times New Roman" w:eastAsia="仿宋" w:cs="Times New Roman"/>
          <w:color w:val="000000" w:themeColor="text1"/>
          <w:sz w:val="32"/>
          <w:szCs w:val="32"/>
          <w:lang w:eastAsia="zh-CN"/>
          <w14:textFill>
            <w14:solidFill>
              <w14:schemeClr w14:val="tx1"/>
            </w14:solidFill>
          </w14:textFill>
        </w:rPr>
        <w:t>组织、协调全区学术研讨、技术交流活动</w:t>
      </w:r>
      <w:r>
        <w:rPr>
          <w:rFonts w:hint="eastAsia" w:ascii="仿宋_GB2312" w:hAnsi="Times New Roman" w:eastAsia="仿宋_GB2312" w:cs="DengXian-Regular"/>
          <w:sz w:val="32"/>
          <w:szCs w:val="32"/>
        </w:rPr>
        <w:t>。</w:t>
      </w:r>
    </w:p>
    <w:p>
      <w:pPr>
        <w:keepNext/>
        <w:keepLines/>
        <w:numPr>
          <w:ilvl w:val="0"/>
          <w:numId w:val="3"/>
        </w:numPr>
        <w:snapToGrid w:val="0"/>
        <w:spacing w:line="580" w:lineRule="exact"/>
        <w:ind w:left="840" w:leftChars="0"/>
        <w:jc w:val="left"/>
        <w:outlineLvl w:val="1"/>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jc w:val="left"/>
        <w:outlineLvl w:val="1"/>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 xml:space="preserve"> 本部门无</w:t>
      </w:r>
      <w:r>
        <w:rPr>
          <w:rFonts w:hint="eastAsia" w:ascii="仿宋_GB2312" w:hAnsi="仿宋_GB2312" w:eastAsia="仿宋_GB2312" w:cs="仿宋_GB2312"/>
          <w:b w:val="0"/>
          <w:bCs w:val="0"/>
          <w:sz w:val="32"/>
          <w:szCs w:val="32"/>
        </w:rPr>
        <w:t>财政评价项目</w:t>
      </w:r>
    </w:p>
    <w:p>
      <w:pPr>
        <w:keepNext/>
        <w:keepLines/>
        <w:snapToGrid w:val="0"/>
        <w:spacing w:line="580" w:lineRule="exact"/>
        <w:ind w:firstLine="640" w:firstLineChars="200"/>
        <w:jc w:val="left"/>
        <w:outlineLvl w:val="1"/>
        <w:rPr>
          <w:rFonts w:ascii="黑体" w:hAnsi="Calibri" w:eastAsia="黑体" w:cs="Times New Roman"/>
          <w:color w:val="auto"/>
          <w:sz w:val="32"/>
          <w:szCs w:val="32"/>
        </w:rPr>
      </w:pPr>
      <w:r>
        <w:rPr>
          <w:rFonts w:hint="eastAsia" w:ascii="黑体" w:hAnsi="Calibri" w:eastAsia="黑体" w:cs="Times New Roman"/>
          <w:color w:val="auto"/>
          <w:sz w:val="32"/>
          <w:szCs w:val="32"/>
        </w:rPr>
        <w:t>七、其他重要事项的说明</w:t>
      </w:r>
    </w:p>
    <w:p>
      <w:pPr>
        <w:keepNext/>
        <w:keepLines/>
        <w:snapToGrid w:val="0"/>
        <w:spacing w:line="580" w:lineRule="exact"/>
        <w:ind w:firstLine="643" w:firstLineChars="200"/>
        <w:jc w:val="left"/>
        <w:outlineLvl w:val="2"/>
        <w:rPr>
          <w:rFonts w:ascii="楷体_GB2312" w:hAnsi="Times New Roman" w:eastAsia="楷体_GB2312" w:cs="DengXian-Bold"/>
          <w:b/>
          <w:bCs/>
          <w:color w:val="auto"/>
          <w:sz w:val="32"/>
          <w:szCs w:val="32"/>
        </w:rPr>
      </w:pPr>
      <w:r>
        <w:rPr>
          <w:rFonts w:hint="eastAsia" w:ascii="楷体_GB2312" w:hAnsi="Times New Roman" w:eastAsia="楷体_GB2312" w:cs="DengXian-Bold"/>
          <w:b/>
          <w:bCs/>
          <w:color w:val="auto"/>
          <w:sz w:val="32"/>
          <w:szCs w:val="32"/>
        </w:rPr>
        <w:t>（一）机关运行经费情况</w:t>
      </w:r>
    </w:p>
    <w:p>
      <w:pPr>
        <w:adjustRightInd w:val="0"/>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8.64</w:t>
      </w:r>
      <w:r>
        <w:rPr>
          <w:rFonts w:hint="eastAsia" w:ascii="仿宋_GB2312" w:hAnsi="Times New Roman" w:eastAsia="仿宋_GB2312" w:cs="DengXian-Regular"/>
          <w:sz w:val="32"/>
          <w:szCs w:val="32"/>
        </w:rPr>
        <w:t>万元，比2018年度</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6.32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42.82%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压缩开支</w:t>
      </w:r>
      <w:r>
        <w:rPr>
          <w:rFonts w:hint="eastAsia" w:ascii="仿宋" w:hAnsi="仿宋" w:eastAsia="仿宋" w:cs="仿宋"/>
          <w:sz w:val="32"/>
          <w:szCs w:val="32"/>
        </w:rPr>
        <w:t>。</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宋体" w:eastAsia="仿宋_GB2312" w:cs="Times New Roman"/>
          <w:color w:val="000000"/>
          <w:kern w:val="0"/>
          <w:sz w:val="32"/>
          <w:szCs w:val="32"/>
        </w:rPr>
        <w:t>本部门2019年度政府采购支出总额</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万元，从采购类型来看，政府采购货物支出</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 xml:space="preserve"> 万元、政府采购工程支出</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 xml:space="preserve">万元、政府采购服务支出 </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万元。授予中小企业合同金</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万元，占政府采购支出总额的</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%，其中授予小微企业合同金额</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万元，占政</w:t>
      </w:r>
      <w:r>
        <w:rPr>
          <w:rFonts w:ascii="仿宋_GB2312" w:hAnsi="仿宋_GB2312" w:eastAsia="仿宋_GB2312" w:cs="仿宋_GB2312"/>
          <w:color w:val="000000"/>
          <w:kern w:val="0"/>
          <w:sz w:val="32"/>
          <w:szCs w:val="32"/>
          <w:lang w:bidi="ar"/>
        </w:rPr>
        <w:t xml:space="preserve">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截至2019年12月31日，本部门共有车辆</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0辆</w:t>
      </w:r>
      <w:r>
        <w:rPr>
          <w:rFonts w:hint="eastAsia" w:ascii="仿宋_GB2312" w:hAnsi="宋体" w:eastAsia="仿宋_GB2312" w:cs="Times New Roman"/>
          <w:color w:val="000000"/>
          <w:kern w:val="0"/>
          <w:sz w:val="32"/>
          <w:szCs w:val="32"/>
          <w:lang w:eastAsia="zh-CN"/>
        </w:rPr>
        <w:t>持平</w:t>
      </w:r>
      <w:r>
        <w:rPr>
          <w:rFonts w:hint="eastAsia" w:ascii="仿宋_GB2312" w:hAnsi="宋体" w:eastAsia="仿宋_GB2312" w:cs="Times New Roman"/>
          <w:color w:val="000000"/>
          <w:kern w:val="0"/>
          <w:sz w:val="32"/>
          <w:szCs w:val="32"/>
        </w:rPr>
        <w:t>。其中，副部（省）级及以上领导用车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辆，主要领导干部用车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辆，机要通信用车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辆，应急保障用车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辆，执法执勤用车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辆，特种专业技术用车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辆，离退休干部用车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辆，其他用车</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辆；单位价值50万元以上通用设备</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0辆</w:t>
      </w:r>
      <w:r>
        <w:rPr>
          <w:rFonts w:hint="eastAsia" w:ascii="仿宋_GB2312" w:hAnsi="宋体" w:eastAsia="仿宋_GB2312" w:cs="Times New Roman"/>
          <w:color w:val="000000"/>
          <w:kern w:val="0"/>
          <w:sz w:val="32"/>
          <w:szCs w:val="32"/>
          <w:lang w:eastAsia="zh-CN"/>
        </w:rPr>
        <w:t>持平</w:t>
      </w:r>
      <w:r>
        <w:rPr>
          <w:rFonts w:hint="eastAsia" w:ascii="仿宋_GB2312" w:hAnsi="宋体" w:eastAsia="仿宋_GB2312" w:cs="Times New Roman"/>
          <w:color w:val="000000"/>
          <w:kern w:val="0"/>
          <w:sz w:val="32"/>
          <w:szCs w:val="32"/>
        </w:rPr>
        <w:t>，单位价值100万元以上专用设备</w:t>
      </w:r>
      <w:r>
        <w:rPr>
          <w:rFonts w:hint="eastAsia" w:ascii="仿宋_GB2312" w:hAnsi="宋体" w:eastAsia="仿宋_GB2312" w:cs="Times New Roman"/>
          <w:color w:val="000000"/>
          <w:kern w:val="0"/>
          <w:sz w:val="32"/>
          <w:szCs w:val="32"/>
          <w:lang w:val="en-US" w:eastAsia="zh-CN"/>
        </w:rPr>
        <w:t>0</w:t>
      </w:r>
      <w:r>
        <w:rPr>
          <w:rFonts w:hint="eastAsia" w:ascii="仿宋_GB2312" w:hAnsi="宋体" w:eastAsia="仿宋_GB2312" w:cs="Times New Roman"/>
          <w:color w:val="000000"/>
          <w:kern w:val="0"/>
          <w:sz w:val="32"/>
          <w:szCs w:val="32"/>
        </w:rPr>
        <w:t>台（套）</w:t>
      </w:r>
      <w:r>
        <w:rPr>
          <w:rFonts w:hint="eastAsia" w:ascii="仿宋_GB2312" w:hAnsi="宋体" w:eastAsia="仿宋_GB2312" w:cs="Times New Roman"/>
          <w:color w:val="000000"/>
          <w:kern w:val="0"/>
          <w:sz w:val="32"/>
          <w:szCs w:val="32"/>
          <w:lang w:eastAsia="zh-CN"/>
        </w:rPr>
        <w:t>，与</w:t>
      </w:r>
      <w:r>
        <w:rPr>
          <w:rFonts w:hint="eastAsia" w:ascii="仿宋_GB2312" w:hAnsi="宋体" w:eastAsia="仿宋_GB2312" w:cs="Times New Roman"/>
          <w:color w:val="000000"/>
          <w:kern w:val="0"/>
          <w:sz w:val="32"/>
          <w:szCs w:val="32"/>
        </w:rPr>
        <w:t>上年</w:t>
      </w:r>
      <w:r>
        <w:rPr>
          <w:rFonts w:hint="eastAsia" w:ascii="仿宋_GB2312" w:hAnsi="宋体" w:eastAsia="仿宋_GB2312" w:cs="Times New Roman"/>
          <w:color w:val="000000"/>
          <w:kern w:val="0"/>
          <w:sz w:val="32"/>
          <w:szCs w:val="32"/>
          <w:lang w:val="en-US" w:eastAsia="zh-CN"/>
        </w:rPr>
        <w:t>0辆</w:t>
      </w:r>
      <w:r>
        <w:rPr>
          <w:rFonts w:hint="eastAsia" w:ascii="仿宋_GB2312" w:hAnsi="宋体" w:eastAsia="仿宋_GB2312" w:cs="Times New Roman"/>
          <w:color w:val="000000"/>
          <w:kern w:val="0"/>
          <w:sz w:val="32"/>
          <w:szCs w:val="32"/>
          <w:lang w:eastAsia="zh-CN"/>
        </w:rPr>
        <w:t>持平。</w:t>
      </w:r>
    </w:p>
    <w:p>
      <w:pPr>
        <w:keepNext/>
        <w:keepLines/>
        <w:snapToGrid w:val="0"/>
        <w:spacing w:line="580" w:lineRule="exact"/>
        <w:ind w:firstLine="643" w:firstLineChars="200"/>
        <w:jc w:val="left"/>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1. 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年度一般公共预算财政拨款“三公”经费无收支及结转结余情况，故一般公共预算财政拨款“三公”经费支出决算表以空表列示。本部门201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年度政府性基金预算财政拨款收入支出无收支及结转结余情况，故政府性基金预算财政拨款收入支出决算表以空表列示。本部门201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年度国有资本经营预算财政拨款支出无收支及结转结余情况，故国有资本经营预算财政拨款支出决算表以空表列示。本部门201</w:t>
      </w:r>
      <w:r>
        <w:rPr>
          <w:rFonts w:hint="eastAsia" w:ascii="仿宋_GB2312" w:hAnsi="宋体" w:eastAsia="仿宋_GB2312" w:cs="Times New Roman"/>
          <w:color w:val="000000"/>
          <w:kern w:val="0"/>
          <w:sz w:val="32"/>
          <w:szCs w:val="32"/>
          <w:lang w:val="en-US" w:eastAsia="zh-CN"/>
        </w:rPr>
        <w:t>9</w:t>
      </w:r>
      <w:r>
        <w:rPr>
          <w:rFonts w:hint="eastAsia" w:ascii="仿宋_GB2312" w:hAnsi="宋体" w:eastAsia="仿宋_GB2312" w:cs="Times New Roman"/>
          <w:color w:val="000000"/>
          <w:kern w:val="0"/>
          <w:sz w:val="32"/>
          <w:szCs w:val="32"/>
        </w:rPr>
        <w:t>年度政府采购无收支及结转结余情况，故政府采购情况表以空表列示。</w:t>
      </w:r>
    </w:p>
    <w:p>
      <w:pPr>
        <w:widowControl/>
        <w:spacing w:line="560" w:lineRule="exact"/>
        <w:ind w:firstLine="640"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color w:val="000000"/>
          <w:kern w:val="0"/>
          <w:sz w:val="32"/>
          <w:szCs w:val="32"/>
        </w:rPr>
        <w:t>2. 由于决算公开表格中金额数值应当保留两位小数，公开数据为四舍五入计算结果，个别数据合计项与分项之和存在小数点后差额，特此说明。</w:t>
      </w:r>
    </w:p>
    <w:p>
      <w:pPr>
        <w:widowControl/>
        <w:spacing w:line="560" w:lineRule="exact"/>
        <w:ind w:firstLine="640" w:firstLineChars="200"/>
        <w:rPr>
          <w:rFonts w:hint="eastAsia" w:ascii="仿宋_GB2312" w:hAnsi="宋体" w:eastAsia="仿宋_GB2312" w:cs="Times New Roman"/>
          <w:color w:val="000000"/>
          <w:kern w:val="0"/>
          <w:sz w:val="32"/>
          <w:szCs w:val="32"/>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left"/>
        <w:rPr>
          <w:rFonts w:ascii="黑体" w:hAnsi="黑体" w:eastAsia="黑体" w:cs="黑体"/>
          <w:sz w:val="56"/>
          <w:szCs w:val="72"/>
        </w:rPr>
      </w:pPr>
    </w:p>
    <w:p>
      <w:pPr>
        <w:jc w:val="left"/>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jc w:val="left"/>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仿宋_GB2312" w:hAnsi="宋体" w:eastAsia="仿宋_GB2312" w:cs="MS-UIGothic,Bold"/>
          <w:bCs/>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817" w:tblpY="100"/>
        <w:tblOverlap w:val="never"/>
        <w:tblW w:w="10170" w:type="dxa"/>
        <w:tblInd w:w="0" w:type="dxa"/>
        <w:shd w:val="clear" w:color="auto" w:fill="auto"/>
        <w:tblLayout w:type="fixed"/>
        <w:tblCellMar>
          <w:top w:w="0" w:type="dxa"/>
          <w:left w:w="0" w:type="dxa"/>
          <w:bottom w:w="0" w:type="dxa"/>
          <w:right w:w="0" w:type="dxa"/>
        </w:tblCellMar>
      </w:tblPr>
      <w:tblGrid>
        <w:gridCol w:w="2684"/>
        <w:gridCol w:w="675"/>
        <w:gridCol w:w="1711"/>
        <w:gridCol w:w="2204"/>
        <w:gridCol w:w="720"/>
        <w:gridCol w:w="2176"/>
      </w:tblGrid>
      <w:tr>
        <w:tblPrEx>
          <w:shd w:val="clear" w:color="auto" w:fill="auto"/>
          <w:tblCellMar>
            <w:top w:w="0" w:type="dxa"/>
            <w:left w:w="0" w:type="dxa"/>
            <w:bottom w:w="0" w:type="dxa"/>
            <w:right w:w="0" w:type="dxa"/>
          </w:tblCellMar>
        </w:tblPrEx>
        <w:trPr>
          <w:trHeight w:val="390" w:hRule="atLeast"/>
        </w:trPr>
        <w:tc>
          <w:tcPr>
            <w:tcW w:w="2684" w:type="dxa"/>
            <w:tcBorders>
              <w:top w:val="nil"/>
              <w:left w:val="nil"/>
              <w:bottom w:val="nil"/>
              <w:right w:val="nil"/>
            </w:tcBorders>
            <w:shd w:val="clear" w:color="auto" w:fill="auto"/>
            <w:noWrap/>
            <w:tcMar>
              <w:top w:w="15" w:type="dxa"/>
              <w:left w:w="15" w:type="dxa"/>
              <w:right w:w="15" w:type="dxa"/>
            </w:tcMar>
            <w:vAlign w:val="bottom"/>
          </w:tcPr>
          <w:p>
            <w:pPr>
              <w:rPr>
                <w:rFonts w:hint="eastAsia" w:ascii="Arial" w:hAnsi="Arial" w:cs="Arial"/>
                <w:i w:val="0"/>
                <w:color w:val="000000"/>
                <w:sz w:val="20"/>
                <w:szCs w:val="20"/>
                <w:u w:val="none"/>
              </w:rPr>
            </w:pPr>
          </w:p>
        </w:tc>
        <w:tc>
          <w:tcPr>
            <w:tcW w:w="6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11"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30"/>
                <w:szCs w:val="30"/>
                <w:u w:val="none"/>
              </w:rPr>
            </w:pPr>
            <w:r>
              <w:rPr>
                <w:rFonts w:hint="eastAsia" w:ascii="宋体" w:hAnsi="宋体" w:eastAsia="宋体" w:cs="宋体"/>
                <w:i w:val="0"/>
                <w:color w:val="000000"/>
                <w:kern w:val="0"/>
                <w:sz w:val="30"/>
                <w:szCs w:val="30"/>
                <w:u w:val="none"/>
                <w:lang w:val="en-US" w:eastAsia="zh-CN" w:bidi="ar"/>
              </w:rPr>
              <w:t>收入支出决算总表</w:t>
            </w:r>
          </w:p>
        </w:tc>
        <w:tc>
          <w:tcPr>
            <w:tcW w:w="220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76"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r>
      <w:tr>
        <w:tblPrEx>
          <w:tblCellMar>
            <w:top w:w="0" w:type="dxa"/>
            <w:left w:w="0" w:type="dxa"/>
            <w:bottom w:w="0" w:type="dxa"/>
            <w:right w:w="0" w:type="dxa"/>
          </w:tblCellMar>
        </w:tblPrEx>
        <w:trPr>
          <w:trHeight w:val="255" w:hRule="atLeast"/>
        </w:trPr>
        <w:tc>
          <w:tcPr>
            <w:tcW w:w="268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6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0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7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公开01表</w:t>
            </w:r>
          </w:p>
        </w:tc>
      </w:tr>
      <w:tr>
        <w:tblPrEx>
          <w:tblCellMar>
            <w:top w:w="0" w:type="dxa"/>
            <w:left w:w="0" w:type="dxa"/>
            <w:bottom w:w="0" w:type="dxa"/>
            <w:right w:w="0" w:type="dxa"/>
          </w:tblCellMar>
        </w:tblPrEx>
        <w:trPr>
          <w:trHeight w:val="255" w:hRule="atLeast"/>
        </w:trPr>
        <w:tc>
          <w:tcPr>
            <w:tcW w:w="268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部门：石家庄市藁城区科学技术协会</w:t>
            </w:r>
          </w:p>
        </w:tc>
        <w:tc>
          <w:tcPr>
            <w:tcW w:w="675"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1711"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204"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720" w:type="dxa"/>
            <w:tcBorders>
              <w:top w:val="nil"/>
              <w:left w:val="nil"/>
              <w:bottom w:val="nil"/>
              <w:right w:val="nil"/>
            </w:tcBorders>
            <w:shd w:val="clear" w:color="auto" w:fill="auto"/>
            <w:noWrap/>
            <w:tcMar>
              <w:top w:w="15" w:type="dxa"/>
              <w:left w:w="15" w:type="dxa"/>
              <w:right w:w="15" w:type="dxa"/>
            </w:tcMar>
            <w:vAlign w:val="bottom"/>
          </w:tcPr>
          <w:p>
            <w:pPr>
              <w:rPr>
                <w:rFonts w:hint="default" w:ascii="Arial" w:hAnsi="Arial" w:cs="Arial"/>
                <w:i w:val="0"/>
                <w:color w:val="000000"/>
                <w:sz w:val="20"/>
                <w:szCs w:val="20"/>
                <w:u w:val="none"/>
              </w:rPr>
            </w:pPr>
          </w:p>
        </w:tc>
        <w:tc>
          <w:tcPr>
            <w:tcW w:w="2176"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right"/>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CellMar>
            <w:top w:w="0" w:type="dxa"/>
            <w:left w:w="0" w:type="dxa"/>
            <w:bottom w:w="0" w:type="dxa"/>
            <w:right w:w="0" w:type="dxa"/>
          </w:tblCellMar>
        </w:tblPrEx>
        <w:trPr>
          <w:trHeight w:val="308" w:hRule="atLeast"/>
        </w:trPr>
        <w:tc>
          <w:tcPr>
            <w:tcW w:w="5070" w:type="dxa"/>
            <w:gridSpan w:val="3"/>
            <w:tcBorders>
              <w:top w:val="single" w:color="000000" w:sz="4" w:space="0"/>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收入</w:t>
            </w:r>
          </w:p>
        </w:tc>
        <w:tc>
          <w:tcPr>
            <w:tcW w:w="5100" w:type="dxa"/>
            <w:gridSpan w:val="3"/>
            <w:tcBorders>
              <w:top w:val="single" w:color="000000" w:sz="4" w:space="0"/>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支出</w:t>
            </w: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171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行次</w:t>
            </w:r>
          </w:p>
        </w:tc>
        <w:tc>
          <w:tcPr>
            <w:tcW w:w="217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金额</w:t>
            </w: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1711"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栏次</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center"/>
              <w:rPr>
                <w:rFonts w:hint="eastAsia" w:ascii="宋体" w:hAnsi="宋体" w:eastAsia="宋体" w:cs="宋体"/>
                <w:i w:val="0"/>
                <w:color w:val="000000"/>
                <w:sz w:val="22"/>
                <w:szCs w:val="22"/>
                <w:u w:val="none"/>
              </w:rPr>
            </w:pPr>
          </w:p>
        </w:tc>
        <w:tc>
          <w:tcPr>
            <w:tcW w:w="2176"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一、一般公共预算财政拨款收入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103.58</w:t>
            </w: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一、一般公共服务支出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97.58</w:t>
            </w: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二、政府性基金预算财政拨款收入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二、外交支出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30</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三、上级补助收入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三、国防支出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bookmarkStart w:id="0" w:name="_GoBack"/>
            <w:bookmarkEnd w:id="0"/>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四、事业收入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四、公共安全支出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五、经营收入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五、教育支出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33</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六、附属单位上缴收入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六、科学技术支出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34</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eastAsia="zh-CN"/>
              </w:rPr>
            </w:pPr>
            <w:r>
              <w:rPr>
                <w:rFonts w:hint="eastAsia" w:ascii="宋体" w:hAnsi="宋体" w:eastAsia="宋体" w:cs="宋体"/>
                <w:i w:val="0"/>
                <w:color w:val="000000"/>
                <w:sz w:val="22"/>
                <w:szCs w:val="22"/>
                <w:u w:val="none"/>
                <w:lang w:val="en-US" w:eastAsia="zh-CN"/>
              </w:rPr>
              <w:t>6.00</w:t>
            </w: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七、其他收入</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七、文化旅游体育与传媒支出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699"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八、社会保障和就业支出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36</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九、卫生健康支出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37</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十、节能环保支出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十一、城乡社区支出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十二、农林水支出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13</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十三、交通运输支出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十四、资源勘探信息等支出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42</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十五、商业服务业等支出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43</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十六、金融支出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44</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十七、援助其他地区支出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45</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十八、自然资源海洋气象等支出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46</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十九、住房保障支出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二十、粮油物资储备支出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48</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21</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二十一、灾害防治及应急管理支出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49</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22</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二十二、其他支出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23</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二十四、债务付息支出</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本年收入合计</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24</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1,03.58</w:t>
            </w: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本年支出合计</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52</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103.58</w:t>
            </w: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用事业基金弥补收支差额</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结余分配</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53</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年初结转和结余</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26</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年末结转和结余</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54</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27</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i w:val="0"/>
                <w:color w:val="000000"/>
                <w:sz w:val="22"/>
                <w:szCs w:val="22"/>
                <w:u w:val="none"/>
              </w:rPr>
            </w:pP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55</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i w:val="0"/>
                <w:color w:val="000000"/>
                <w:sz w:val="22"/>
                <w:szCs w:val="22"/>
                <w:u w:val="none"/>
              </w:rPr>
            </w:pPr>
          </w:p>
        </w:tc>
      </w:tr>
      <w:tr>
        <w:tblPrEx>
          <w:tblCellMar>
            <w:top w:w="0" w:type="dxa"/>
            <w:left w:w="0" w:type="dxa"/>
            <w:bottom w:w="0" w:type="dxa"/>
            <w:right w:w="0" w:type="dxa"/>
          </w:tblCellMar>
        </w:tblPrEx>
        <w:trPr>
          <w:trHeight w:val="308" w:hRule="atLeast"/>
        </w:trPr>
        <w:tc>
          <w:tcPr>
            <w:tcW w:w="2684" w:type="dxa"/>
            <w:tcBorders>
              <w:top w:val="nil"/>
              <w:left w:val="single" w:color="000000" w:sz="4" w:space="0"/>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675"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28</w:t>
            </w:r>
          </w:p>
        </w:tc>
        <w:tc>
          <w:tcPr>
            <w:tcW w:w="17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103.58</w:t>
            </w:r>
          </w:p>
        </w:tc>
        <w:tc>
          <w:tcPr>
            <w:tcW w:w="2204"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总计</w:t>
            </w:r>
          </w:p>
        </w:tc>
        <w:tc>
          <w:tcPr>
            <w:tcW w:w="720" w:type="dxa"/>
            <w:tcBorders>
              <w:top w:val="nil"/>
              <w:left w:val="nil"/>
              <w:bottom w:val="single" w:color="000000" w:sz="4" w:space="0"/>
              <w:right w:val="single" w:color="000000" w:sz="4" w:space="0"/>
            </w:tcBorders>
            <w:shd w:val="clear" w:color="FFFFFF" w:fill="C0C0C0"/>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56</w:t>
            </w:r>
          </w:p>
        </w:tc>
        <w:tc>
          <w:tcPr>
            <w:tcW w:w="21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color w:val="000000"/>
                <w:sz w:val="22"/>
                <w:szCs w:val="22"/>
                <w:u w:val="none"/>
                <w:lang w:val="en-US"/>
              </w:rPr>
            </w:pPr>
            <w:r>
              <w:rPr>
                <w:rFonts w:hint="eastAsia" w:ascii="宋体" w:hAnsi="宋体" w:eastAsia="宋体" w:cs="宋体"/>
                <w:i w:val="0"/>
                <w:color w:val="000000"/>
                <w:kern w:val="0"/>
                <w:sz w:val="22"/>
                <w:szCs w:val="22"/>
                <w:u w:val="none"/>
                <w:lang w:val="en-US" w:eastAsia="zh-CN" w:bidi="ar"/>
              </w:rPr>
              <w:t>103.58</w:t>
            </w:r>
          </w:p>
        </w:tc>
      </w:tr>
      <w:tr>
        <w:tblPrEx>
          <w:tblCellMar>
            <w:top w:w="0" w:type="dxa"/>
            <w:left w:w="0" w:type="dxa"/>
            <w:bottom w:w="0" w:type="dxa"/>
            <w:right w:w="0" w:type="dxa"/>
          </w:tblCellMar>
        </w:tblPrEx>
        <w:trPr>
          <w:trHeight w:val="308" w:hRule="atLeast"/>
        </w:trPr>
        <w:tc>
          <w:tcPr>
            <w:tcW w:w="10170"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注：本表反映部门本年度的总收支和年末结转结余情况。</w:t>
            </w:r>
          </w:p>
        </w:tc>
      </w:tr>
    </w:tbl>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r>
        <w:rPr>
          <w:rFonts w:hint="eastAsia" w:eastAsiaTheme="minorEastAsia"/>
          <w:lang w:eastAsia="zh-CN"/>
        </w:rPr>
        <w:object>
          <v:shape id="_x0000_i1025" o:spt="75" type="#_x0000_t75" style="height:300.75pt;width:464.25pt;" o:ole="t" filled="f" o:preferrelative="t" stroked="f" coordsize="21600,21600">
            <v:path/>
            <v:fill on="f" focussize="0,0"/>
            <v:stroke on="f"/>
            <v:imagedata r:id="rId33" o:title=""/>
            <o:lock v:ext="edit" aspectratio="t"/>
            <w10:wrap type="none"/>
            <w10:anchorlock/>
          </v:shape>
          <o:OLEObject Type="Embed" ProgID="Excel.Sheet.8" ShapeID="_x0000_i1025" DrawAspect="Content" ObjectID="_1468075725" r:id="rId32">
            <o:LockedField>false</o:LockedField>
          </o:OLEObject>
        </w:object>
      </w:r>
    </w:p>
    <w:p>
      <w:pPr>
        <w:tabs>
          <w:tab w:val="left" w:pos="886"/>
        </w:tabs>
        <w:jc w:val="left"/>
        <w:rPr>
          <w:rFonts w:hint="eastAsia" w:eastAsiaTheme="minorEastAsia"/>
          <w:lang w:eastAsia="zh-CN"/>
        </w:rPr>
      </w:pPr>
      <w:r>
        <w:rPr>
          <w:rFonts w:hint="eastAsia" w:eastAsiaTheme="minorEastAsia"/>
          <w:lang w:eastAsia="zh-CN"/>
        </w:rPr>
        <w:object>
          <v:shape id="_x0000_i1026" o:spt="75" type="#_x0000_t75" style="height:300.75pt;width:503.25pt;" o:ole="t" filled="f" o:preferrelative="t" stroked="f" coordsize="21600,21600">
            <v:path/>
            <v:fill on="f" focussize="0,0"/>
            <v:stroke on="f"/>
            <v:imagedata r:id="rId35" o:title=""/>
            <o:lock v:ext="edit" aspectratio="t"/>
            <w10:wrap type="none"/>
            <w10:anchorlock/>
          </v:shape>
          <o:OLEObject Type="Embed" ProgID="Excel.Sheet.8" ShapeID="_x0000_i1026" DrawAspect="Content" ObjectID="_1468075726" r:id="rId34">
            <o:LockedField>false</o:LockedField>
          </o:OLEObject>
        </w:object>
      </w:r>
      <w:r>
        <w:rPr>
          <w:rFonts w:hint="eastAsia" w:eastAsiaTheme="minorEastAsia"/>
          <w:lang w:eastAsia="zh-CN"/>
        </w:rPr>
        <w:object>
          <v:shape id="_x0000_i1027" o:spt="75" type="#_x0000_t75" style="height:570pt;width:461.25pt;" o:ole="t" filled="f" o:preferrelative="t" stroked="f" coordsize="21600,21600">
            <v:path/>
            <v:fill on="f" focussize="0,0"/>
            <v:stroke on="f"/>
            <v:imagedata r:id="rId37" o:title=""/>
            <o:lock v:ext="edit" aspectratio="t"/>
            <w10:wrap type="none"/>
            <w10:anchorlock/>
          </v:shape>
          <o:OLEObject Type="Embed" ProgID="Excel.Sheet.8" ShapeID="_x0000_i1027" DrawAspect="Content" ObjectID="_1468075727" r:id="rId36">
            <o:LockedField>false</o:LockedField>
          </o:OLEObject>
        </w:object>
      </w:r>
    </w:p>
    <w:p>
      <w:pPr>
        <w:tabs>
          <w:tab w:val="left" w:pos="886"/>
        </w:tabs>
        <w:jc w:val="left"/>
        <w:rPr>
          <w:rFonts w:hint="eastAsia" w:eastAsiaTheme="minorEastAsia"/>
          <w:lang w:eastAsia="zh-CN"/>
        </w:rPr>
      </w:pPr>
      <w:r>
        <w:rPr>
          <w:rFonts w:hint="eastAsia" w:eastAsiaTheme="minorEastAsia"/>
          <w:lang w:eastAsia="zh-CN"/>
        </w:rPr>
        <w:object>
          <v:shape id="_x0000_i1028" o:spt="75" type="#_x0000_t75" style="height:299.25pt;width:403.5pt;" o:ole="t" filled="f" o:preferrelative="t" stroked="f" coordsize="21600,21600">
            <v:path/>
            <v:fill on="f" focussize="0,0"/>
            <v:stroke on="f"/>
            <v:imagedata r:id="rId39" o:title=""/>
            <o:lock v:ext="edit" aspectratio="t"/>
            <w10:wrap type="none"/>
            <w10:anchorlock/>
          </v:shape>
          <o:OLEObject Type="Embed" ProgID="Excel.Sheet.8" ShapeID="_x0000_i1028" DrawAspect="Content" ObjectID="_1468075728" r:id="rId38">
            <o:LockedField>false</o:LockedField>
          </o:OLEObject>
        </w:object>
      </w:r>
    </w:p>
    <w:p>
      <w:pPr>
        <w:tabs>
          <w:tab w:val="left" w:pos="886"/>
        </w:tabs>
        <w:jc w:val="left"/>
        <w:rPr>
          <w:rFonts w:hint="eastAsia" w:eastAsiaTheme="minorEastAsia"/>
          <w:lang w:eastAsia="zh-CN"/>
        </w:rPr>
      </w:pPr>
      <w:r>
        <w:rPr>
          <w:rFonts w:hint="eastAsia" w:eastAsiaTheme="minorEastAsia"/>
          <w:lang w:eastAsia="zh-CN"/>
        </w:rPr>
        <w:object>
          <v:shape id="_x0000_i1029" o:spt="75" type="#_x0000_t75" style="height:540pt;width:457.5pt;" o:ole="t" filled="f" o:preferrelative="t" stroked="f" coordsize="21600,21600">
            <v:path/>
            <v:fill on="f" focussize="0,0"/>
            <v:stroke on="f"/>
            <v:imagedata r:id="rId41" o:title=""/>
            <o:lock v:ext="edit" aspectratio="t"/>
            <w10:wrap type="none"/>
            <w10:anchorlock/>
          </v:shape>
          <o:OLEObject Type="Embed" ProgID="Excel.Sheet.8" ShapeID="_x0000_i1029" DrawAspect="Content" ObjectID="_1468075729" r:id="rId40">
            <o:LockedField>false</o:LockedField>
          </o:OLEObject>
        </w:object>
      </w:r>
    </w:p>
    <w:p>
      <w:pPr>
        <w:tabs>
          <w:tab w:val="left" w:pos="886"/>
        </w:tabs>
        <w:jc w:val="left"/>
        <w:rPr>
          <w:rFonts w:hint="eastAsia" w:eastAsiaTheme="minorEastAsia"/>
          <w:lang w:eastAsia="zh-CN"/>
        </w:rPr>
      </w:pPr>
      <w:r>
        <w:rPr>
          <w:rFonts w:hint="eastAsia" w:eastAsiaTheme="minorEastAsia"/>
          <w:lang w:eastAsia="zh-CN"/>
        </w:rPr>
        <w:object>
          <v:shape id="_x0000_i1030" o:spt="75" type="#_x0000_t75" style="height:237pt;width:454.5pt;" o:ole="t" filled="f" o:preferrelative="t" stroked="f" coordsize="21600,21600">
            <v:path/>
            <v:fill on="f" focussize="0,0"/>
            <v:stroke on="f"/>
            <v:imagedata r:id="rId43" o:title=""/>
            <o:lock v:ext="edit" aspectratio="t"/>
            <w10:wrap type="none"/>
            <w10:anchorlock/>
          </v:shape>
          <o:OLEObject Type="Embed" ProgID="Excel.Sheet.8" ShapeID="_x0000_i1030" DrawAspect="Content" ObjectID="_1468075730" r:id="rId42">
            <o:LockedField>false</o:LockedField>
          </o:OLEObject>
        </w:object>
      </w:r>
      <w:r>
        <w:rPr>
          <w:rFonts w:hint="eastAsia" w:eastAsiaTheme="minorEastAsia"/>
          <w:lang w:eastAsia="zh-CN"/>
        </w:rPr>
        <w:object>
          <v:shape id="_x0000_i1031" o:spt="75" type="#_x0000_t75" style="height:282.75pt;width:375.75pt;" o:ole="t" filled="f" o:preferrelative="t" stroked="f" coordsize="21600,21600">
            <v:path/>
            <v:fill on="f" focussize="0,0"/>
            <v:stroke on="f"/>
            <v:imagedata r:id="rId45" o:title=""/>
            <o:lock v:ext="edit" aspectratio="t"/>
            <w10:wrap type="none"/>
            <w10:anchorlock/>
          </v:shape>
          <o:OLEObject Type="Embed" ProgID="Excel.Sheet.8" ShapeID="_x0000_i1031" DrawAspect="Content" ObjectID="_1468075731" r:id="rId44">
            <o:LockedField>false</o:LockedField>
          </o:OLEObject>
        </w:object>
      </w:r>
    </w:p>
    <w:p>
      <w:pPr>
        <w:tabs>
          <w:tab w:val="left" w:pos="886"/>
        </w:tabs>
        <w:jc w:val="left"/>
        <w:rPr>
          <w:rFonts w:hint="eastAsia" w:eastAsiaTheme="minorEastAsia"/>
          <w:lang w:eastAsia="zh-CN"/>
        </w:rPr>
      </w:pPr>
      <w:r>
        <w:rPr>
          <w:rFonts w:hint="eastAsia" w:eastAsiaTheme="minorEastAsia"/>
          <w:lang w:eastAsia="zh-CN"/>
        </w:rPr>
        <w:object>
          <v:shape id="_x0000_i1032" o:spt="75" type="#_x0000_t75" style="height:270.75pt;width:356.25pt;" o:ole="t" filled="f" o:preferrelative="t" stroked="f" coordsize="21600,21600">
            <v:path/>
            <v:fill on="f" focussize="0,0"/>
            <v:stroke on="f"/>
            <v:imagedata r:id="rId47" o:title=""/>
            <o:lock v:ext="edit" aspectratio="t"/>
            <w10:wrap type="none"/>
            <w10:anchorlock/>
          </v:shape>
          <o:OLEObject Type="Embed" ProgID="Excel.Sheet.8" ShapeID="_x0000_i1032" DrawAspect="Content" ObjectID="_1468075732" r:id="rId46">
            <o:LockedField>false</o:LockedField>
          </o:OLEObject>
        </w:object>
      </w: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adjustRightInd w:val="0"/>
        <w:snapToGrid w:val="0"/>
        <w:spacing w:line="620" w:lineRule="exact"/>
        <w:jc w:val="center"/>
        <w:rPr>
          <w:rFonts w:hint="eastAsia" w:ascii="宋体" w:hAnsi="宋体"/>
          <w:sz w:val="44"/>
          <w:szCs w:val="44"/>
          <w:lang w:eastAsia="zh-CN"/>
        </w:rPr>
      </w:pPr>
      <w:r>
        <w:rPr>
          <w:rFonts w:hint="eastAsia" w:ascii="宋体" w:hAnsi="宋体"/>
          <w:sz w:val="44"/>
          <w:szCs w:val="44"/>
          <w:lang w:eastAsia="zh-CN"/>
        </w:rPr>
        <w:t>藁城区科学技术协会</w:t>
      </w:r>
    </w:p>
    <w:p>
      <w:pPr>
        <w:adjustRightInd w:val="0"/>
        <w:snapToGrid w:val="0"/>
        <w:spacing w:line="620" w:lineRule="exact"/>
        <w:jc w:val="center"/>
        <w:rPr>
          <w:rFonts w:ascii="宋体" w:hAnsi="宋体"/>
          <w:sz w:val="44"/>
          <w:szCs w:val="44"/>
        </w:rPr>
      </w:pPr>
      <w:r>
        <w:rPr>
          <w:rFonts w:hint="eastAsia" w:ascii="宋体" w:hAnsi="宋体"/>
          <w:sz w:val="44"/>
          <w:szCs w:val="44"/>
          <w:lang w:val="en-US" w:eastAsia="zh-CN"/>
        </w:rPr>
        <w:t>2019年度科普经费</w:t>
      </w:r>
      <w:r>
        <w:rPr>
          <w:rFonts w:hint="eastAsia" w:ascii="宋体" w:hAnsi="宋体"/>
          <w:sz w:val="44"/>
          <w:szCs w:val="44"/>
        </w:rPr>
        <w:t>项目自评报告</w:t>
      </w:r>
    </w:p>
    <w:p>
      <w:pPr>
        <w:adjustRightInd w:val="0"/>
        <w:snapToGrid w:val="0"/>
        <w:spacing w:line="620" w:lineRule="exact"/>
        <w:ind w:firstLine="640" w:firstLineChars="200"/>
        <w:rPr>
          <w:rFonts w:hint="eastAsia" w:ascii="仿宋" w:hAnsi="仿宋" w:eastAsia="仿宋"/>
          <w:sz w:val="32"/>
          <w:szCs w:val="32"/>
        </w:rPr>
      </w:pP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根据《藁城区区级部门预算项目绩效自评管理办法》（藁财字[2020]23号），遵循“科学性、规范性、客观性和公正性”的原则，对</w:t>
      </w:r>
      <w:r>
        <w:rPr>
          <w:rFonts w:hint="eastAsia" w:asciiTheme="majorEastAsia" w:hAnsiTheme="majorEastAsia" w:eastAsiaTheme="majorEastAsia" w:cstheme="majorEastAsia"/>
          <w:sz w:val="32"/>
          <w:szCs w:val="32"/>
          <w:lang w:eastAsia="zh-CN"/>
        </w:rPr>
        <w:t>科普经费</w:t>
      </w:r>
      <w:r>
        <w:rPr>
          <w:rFonts w:hint="eastAsia" w:asciiTheme="majorEastAsia" w:hAnsiTheme="majorEastAsia" w:eastAsiaTheme="majorEastAsia" w:cstheme="majorEastAsia"/>
          <w:sz w:val="32"/>
          <w:szCs w:val="32"/>
        </w:rPr>
        <w:t>项目实施了财政支出绩效自评价，形成本评价报告。</w:t>
      </w:r>
    </w:p>
    <w:p>
      <w:pPr>
        <w:adjustRightInd w:val="0"/>
        <w:snapToGrid w:val="0"/>
        <w:spacing w:line="620" w:lineRule="exact"/>
        <w:ind w:firstLine="640"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一、项目基本情况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（一）项目概况</w:t>
      </w:r>
    </w:p>
    <w:p>
      <w:pPr>
        <w:numPr>
          <w:ilvl w:val="0"/>
          <w:numId w:val="0"/>
        </w:numPr>
        <w:ind w:leftChars="100" w:firstLine="640" w:firstLineChars="200"/>
        <w:jc w:val="both"/>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1、</w:t>
      </w:r>
      <w:r>
        <w:rPr>
          <w:rFonts w:hint="eastAsia" w:asciiTheme="majorEastAsia" w:hAnsiTheme="majorEastAsia" w:eastAsiaTheme="majorEastAsia" w:cstheme="majorEastAsia"/>
          <w:sz w:val="32"/>
          <w:szCs w:val="32"/>
        </w:rPr>
        <w:t>项目基本情况；</w:t>
      </w:r>
    </w:p>
    <w:p>
      <w:pPr>
        <w:numPr>
          <w:ilvl w:val="0"/>
          <w:numId w:val="0"/>
        </w:numPr>
        <w:ind w:leftChars="100" w:firstLine="640" w:firstLine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eastAsia="zh-CN"/>
        </w:rPr>
        <w:t>藁城区科学技术协会</w:t>
      </w:r>
      <w:r>
        <w:rPr>
          <w:rFonts w:hint="eastAsia" w:asciiTheme="majorEastAsia" w:hAnsiTheme="majorEastAsia" w:eastAsiaTheme="majorEastAsia" w:cstheme="majorEastAsia"/>
          <w:sz w:val="32"/>
          <w:szCs w:val="32"/>
          <w:lang w:val="en-US" w:eastAsia="zh-CN"/>
        </w:rPr>
        <w:t>面向农民、社区居民、青少年、领导干部和公务员等重点人群，开展科普惠农、科普益民等重点科普活动；开展科普日、科技周、三下乡等系列科普活动。实施社会科普资源开发共享、加强大众媒体科普传播能力建设，实施科学教育培训工程，培养科普组织和科普人才。开展学术交流，活跃学术思想，促进科学技术的繁荣和发展</w:t>
      </w:r>
    </w:p>
    <w:p>
      <w:pPr>
        <w:numPr>
          <w:ilvl w:val="0"/>
          <w:numId w:val="4"/>
        </w:numPr>
        <w:adjustRightInd w:val="0"/>
        <w:snapToGrid w:val="0"/>
        <w:spacing w:line="620" w:lineRule="exact"/>
        <w:ind w:firstLine="640" w:firstLineChars="200"/>
        <w:rPr>
          <w:rFonts w:hint="eastAsia" w:asciiTheme="majorEastAsia" w:hAnsiTheme="majorEastAsia" w:eastAsiaTheme="majorEastAsia" w:cstheme="majorEastAsia"/>
          <w:sz w:val="32"/>
          <w:szCs w:val="32"/>
          <w:lang w:eastAsia="zh-CN"/>
        </w:rPr>
      </w:pPr>
      <w:r>
        <w:rPr>
          <w:rFonts w:hint="eastAsia" w:asciiTheme="majorEastAsia" w:hAnsiTheme="majorEastAsia" w:eastAsiaTheme="majorEastAsia" w:cstheme="majorEastAsia"/>
          <w:sz w:val="32"/>
          <w:szCs w:val="32"/>
        </w:rPr>
        <w:t>项目资金投入情况</w:t>
      </w:r>
      <w:r>
        <w:rPr>
          <w:rFonts w:hint="eastAsia" w:asciiTheme="majorEastAsia" w:hAnsiTheme="majorEastAsia" w:eastAsiaTheme="majorEastAsia" w:cstheme="majorEastAsia"/>
          <w:sz w:val="32"/>
          <w:szCs w:val="32"/>
          <w:lang w:eastAsia="zh-CN"/>
        </w:rPr>
        <w:t>；</w:t>
      </w:r>
    </w:p>
    <w:p>
      <w:pPr>
        <w:numPr>
          <w:ilvl w:val="0"/>
          <w:numId w:val="0"/>
        </w:num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藁城区财政局投入资金6万元，用于提高科普活动能力，实现社会科普资源共享。资金来源为一般公共预算。</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（二）项目预期绩效目标</w:t>
      </w:r>
    </w:p>
    <w:p>
      <w:pPr>
        <w:numPr>
          <w:ilvl w:val="0"/>
          <w:numId w:val="0"/>
        </w:numPr>
        <w:ind w:left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val="en-US" w:eastAsia="zh-CN"/>
        </w:rPr>
        <w:t xml:space="preserve"> 项目预期绩效总目标为：特色项目建设成效明显，科普能力不断增强。对科普工作的组织科普活动率、创新性科普资源推广率进行重点评价。</w:t>
      </w:r>
    </w:p>
    <w:p>
      <w:pPr>
        <w:adjustRightInd w:val="0"/>
        <w:snapToGrid w:val="0"/>
        <w:spacing w:line="620" w:lineRule="exact"/>
        <w:ind w:firstLine="640"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二、自评工作情况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（一）自评的组织工作</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我单位成立了以夏俊杰主席为组长的自评小组，组员有赵阳、陆建霞、郝建永。</w:t>
      </w:r>
    </w:p>
    <w:p>
      <w:pPr>
        <w:numPr>
          <w:ilvl w:val="0"/>
          <w:numId w:val="5"/>
        </w:num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自评的方法和过程</w:t>
      </w:r>
    </w:p>
    <w:p>
      <w:pPr>
        <w:numPr>
          <w:ilvl w:val="0"/>
          <w:numId w:val="0"/>
        </w:num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主要对</w:t>
      </w:r>
      <w:r>
        <w:rPr>
          <w:rFonts w:hint="eastAsia" w:asciiTheme="majorEastAsia" w:hAnsiTheme="majorEastAsia" w:eastAsiaTheme="majorEastAsia" w:cstheme="majorEastAsia"/>
          <w:sz w:val="32"/>
          <w:szCs w:val="32"/>
          <w:lang w:val="en-US" w:eastAsia="zh-CN"/>
        </w:rPr>
        <w:t>2019年度该项目中涉及到的财政支出的质量指标及满意度指标通过走访进行重点评价，并针对评价内容做出分析及合理化建议。</w:t>
      </w:r>
      <w:r>
        <w:rPr>
          <w:rFonts w:hint="eastAsia" w:asciiTheme="majorEastAsia" w:hAnsiTheme="majorEastAsia" w:eastAsiaTheme="majorEastAsia" w:cstheme="majorEastAsia"/>
          <w:sz w:val="32"/>
          <w:szCs w:val="32"/>
        </w:rPr>
        <w:t>说明项目评价资料收集、评价过程、评价工作管理组织等情况。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（三）建立绩效评价指标体系</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w:t>
      </w:r>
    </w:p>
    <w:p>
      <w:pPr>
        <w:adjustRightInd w:val="0"/>
        <w:snapToGrid w:val="0"/>
        <w:spacing w:line="620" w:lineRule="exact"/>
        <w:ind w:firstLine="640"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三、项目执行及绩效实现情况</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（一）项目投入</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1、项目立项情况分析。项目所设定的绩效目标依据充分，符合客观实际，绩效目标与项目实施相符。依据绩效目标设定的绩效指标清晰、细化、可衡量，反映和考核项目绩效目标</w:t>
      </w:r>
    </w:p>
    <w:p>
      <w:pPr>
        <w:numPr>
          <w:ilvl w:val="0"/>
          <w:numId w:val="0"/>
        </w:numPr>
        <w:ind w:left="580" w:leftChars="0"/>
        <w:jc w:val="both"/>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2、</w:t>
      </w:r>
      <w:r>
        <w:rPr>
          <w:rFonts w:hint="eastAsia" w:asciiTheme="majorEastAsia" w:hAnsiTheme="majorEastAsia" w:eastAsiaTheme="majorEastAsia" w:cstheme="majorEastAsia"/>
          <w:sz w:val="32"/>
          <w:szCs w:val="32"/>
          <w:lang w:val="en-US" w:eastAsia="zh-CN"/>
        </w:rPr>
        <w:t>科普经费共计6万元，资金使用率百分之百</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（二）项目实施过程</w:t>
      </w:r>
    </w:p>
    <w:p>
      <w:pPr>
        <w:numPr>
          <w:ilvl w:val="0"/>
          <w:numId w:val="0"/>
        </w:numPr>
        <w:ind w:firstLine="640" w:firstLine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rPr>
        <w:t>1、业务管理情况分析。</w:t>
      </w:r>
      <w:r>
        <w:rPr>
          <w:rFonts w:hint="eastAsia" w:asciiTheme="majorEastAsia" w:hAnsiTheme="majorEastAsia" w:eastAsiaTheme="majorEastAsia" w:cstheme="majorEastAsia"/>
          <w:sz w:val="32"/>
          <w:szCs w:val="32"/>
          <w:lang w:val="en-US" w:eastAsia="zh-CN"/>
        </w:rPr>
        <w:t>负责指导辖区内乡镇街道科普协会，科技类社会团体的工作；提高科普活动能力，提高社会科普资源共享程度，科普能力不断增强。项目实施过程中，各项工作进展顺利，相关预案齐全。</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2、财务管理。</w:t>
      </w:r>
      <w:r>
        <w:rPr>
          <w:rFonts w:hint="eastAsia" w:asciiTheme="majorEastAsia" w:hAnsiTheme="majorEastAsia" w:eastAsiaTheme="majorEastAsia" w:cstheme="majorEastAsia"/>
          <w:sz w:val="32"/>
          <w:szCs w:val="32"/>
          <w:lang w:eastAsia="zh-CN"/>
        </w:rPr>
        <w:t>该项目</w:t>
      </w:r>
      <w:r>
        <w:rPr>
          <w:rFonts w:hint="eastAsia" w:asciiTheme="majorEastAsia" w:hAnsiTheme="majorEastAsia" w:eastAsiaTheme="majorEastAsia" w:cstheme="majorEastAsia"/>
          <w:sz w:val="32"/>
          <w:szCs w:val="32"/>
        </w:rPr>
        <w:t>管理制度健全、资金使用</w:t>
      </w:r>
      <w:r>
        <w:rPr>
          <w:rFonts w:hint="eastAsia" w:asciiTheme="majorEastAsia" w:hAnsiTheme="majorEastAsia" w:eastAsiaTheme="majorEastAsia" w:cstheme="majorEastAsia"/>
          <w:sz w:val="32"/>
          <w:szCs w:val="32"/>
          <w:lang w:eastAsia="zh-CN"/>
        </w:rPr>
        <w:t>符合有关规定，没有存在违规现象</w:t>
      </w:r>
      <w:r>
        <w:rPr>
          <w:rFonts w:hint="eastAsia" w:asciiTheme="majorEastAsia" w:hAnsiTheme="majorEastAsia" w:eastAsiaTheme="majorEastAsia" w:cstheme="majorEastAsia"/>
          <w:sz w:val="32"/>
          <w:szCs w:val="32"/>
        </w:rPr>
        <w:t>。</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（三）项目产出</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在项目的实施过程中，积极开展各类项目，认真组织各类科普活动，</w:t>
      </w:r>
      <w:r>
        <w:rPr>
          <w:rFonts w:hint="eastAsia" w:asciiTheme="majorEastAsia" w:hAnsiTheme="majorEastAsia" w:eastAsiaTheme="majorEastAsia" w:cstheme="majorEastAsia"/>
          <w:sz w:val="32"/>
          <w:szCs w:val="32"/>
          <w:lang w:val="en-US" w:eastAsia="zh-CN"/>
        </w:rPr>
        <w:t>全民科学素质行动计划得到深入落实和推进，全民科学素质进一步提高，该项得分39分。</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rPr>
        <w:t>（四）项目效果</w:t>
      </w:r>
    </w:p>
    <w:p>
      <w:pPr>
        <w:adjustRightInd w:val="0"/>
        <w:snapToGrid w:val="0"/>
        <w:spacing w:line="620" w:lineRule="exact"/>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eastAsia="zh-CN"/>
        </w:rPr>
        <w:t>该</w:t>
      </w:r>
      <w:r>
        <w:rPr>
          <w:rFonts w:hint="eastAsia" w:asciiTheme="majorEastAsia" w:hAnsiTheme="majorEastAsia" w:eastAsiaTheme="majorEastAsia" w:cstheme="majorEastAsia"/>
          <w:sz w:val="32"/>
          <w:szCs w:val="32"/>
        </w:rPr>
        <w:t>项目的</w:t>
      </w:r>
      <w:r>
        <w:rPr>
          <w:rFonts w:hint="eastAsia" w:asciiTheme="majorEastAsia" w:hAnsiTheme="majorEastAsia" w:eastAsiaTheme="majorEastAsia" w:cstheme="majorEastAsia"/>
          <w:sz w:val="32"/>
          <w:szCs w:val="32"/>
          <w:lang w:eastAsia="zh-CN"/>
        </w:rPr>
        <w:t>实施取得了群众的一致好评，</w:t>
      </w:r>
      <w:r>
        <w:rPr>
          <w:rFonts w:hint="eastAsia" w:asciiTheme="majorEastAsia" w:hAnsiTheme="majorEastAsia" w:eastAsiaTheme="majorEastAsia" w:cstheme="majorEastAsia"/>
          <w:sz w:val="32"/>
          <w:szCs w:val="32"/>
          <w:lang w:val="en-US" w:eastAsia="zh-CN"/>
        </w:rPr>
        <w:t>大家受益匪浅，收获颇丰。取得了一定社会效益，该项得分38分。</w:t>
      </w:r>
    </w:p>
    <w:p>
      <w:pPr>
        <w:numPr>
          <w:ilvl w:val="0"/>
          <w:numId w:val="6"/>
        </w:numPr>
        <w:adjustRightInd w:val="0"/>
        <w:snapToGrid w:val="0"/>
        <w:spacing w:line="620" w:lineRule="exact"/>
        <w:ind w:firstLine="640"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项目综合评价结论和评价等级</w:t>
      </w:r>
    </w:p>
    <w:p>
      <w:pPr>
        <w:numPr>
          <w:ilvl w:val="0"/>
          <w:numId w:val="0"/>
        </w:numPr>
        <w:ind w:leftChars="20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b/>
          <w:sz w:val="32"/>
          <w:szCs w:val="32"/>
          <w:lang w:val="en-US" w:eastAsia="zh-CN"/>
        </w:rPr>
        <w:t xml:space="preserve">  </w:t>
      </w:r>
      <w:r>
        <w:rPr>
          <w:rFonts w:hint="eastAsia" w:asciiTheme="majorEastAsia" w:hAnsiTheme="majorEastAsia" w:eastAsiaTheme="majorEastAsia" w:cstheme="majorEastAsia"/>
          <w:sz w:val="32"/>
          <w:szCs w:val="32"/>
          <w:lang w:val="en-US" w:eastAsia="zh-CN"/>
        </w:rPr>
        <w:t>2019年藁城区科学技术组织科普活动率、创新性、科</w:t>
      </w:r>
    </w:p>
    <w:p>
      <w:pPr>
        <w:numPr>
          <w:ilvl w:val="0"/>
          <w:numId w:val="0"/>
        </w:numPr>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sz w:val="32"/>
          <w:szCs w:val="32"/>
          <w:lang w:val="en-US" w:eastAsia="zh-CN"/>
        </w:rPr>
        <w:t>普资源推广率，项目总得分96分，项目综合绩效评价的为优秀。</w:t>
      </w:r>
    </w:p>
    <w:p>
      <w:pPr>
        <w:adjustRightInd w:val="0"/>
        <w:snapToGrid w:val="0"/>
        <w:spacing w:line="620" w:lineRule="exact"/>
        <w:ind w:firstLine="640" w:firstLineChars="200"/>
        <w:rPr>
          <w:rFonts w:hint="eastAsia" w:asciiTheme="majorEastAsia" w:hAnsiTheme="majorEastAsia" w:eastAsiaTheme="majorEastAsia" w:cstheme="majorEastAsia"/>
          <w:b/>
          <w:sz w:val="32"/>
          <w:szCs w:val="32"/>
        </w:rPr>
      </w:pPr>
      <w:r>
        <w:rPr>
          <w:rFonts w:hint="eastAsia" w:asciiTheme="majorEastAsia" w:hAnsiTheme="majorEastAsia" w:eastAsiaTheme="majorEastAsia" w:cstheme="majorEastAsia"/>
          <w:b/>
          <w:sz w:val="32"/>
          <w:szCs w:val="32"/>
        </w:rPr>
        <w:t>五、存在的问题及改进措施</w:t>
      </w:r>
    </w:p>
    <w:p>
      <w:pPr>
        <w:numPr>
          <w:ilvl w:val="0"/>
          <w:numId w:val="0"/>
        </w:numPr>
        <w:ind w:firstLine="640"/>
        <w:jc w:val="both"/>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sz w:val="32"/>
          <w:szCs w:val="32"/>
          <w:lang w:val="en-US" w:eastAsia="zh-CN"/>
        </w:rPr>
        <w:t>这次科普我们积极征求大家意见和建议，对2020年的科普工作继续完善，争取为广大群众提高科普知识，打下基础。</w:t>
      </w:r>
    </w:p>
    <w:p>
      <w:pPr>
        <w:adjustRightInd w:val="0"/>
        <w:spacing w:line="360" w:lineRule="auto"/>
        <w:ind w:firstLine="640" w:firstLineChars="200"/>
        <w:rPr>
          <w:rFonts w:hint="eastAsia" w:asciiTheme="majorEastAsia" w:hAnsiTheme="majorEastAsia" w:eastAsiaTheme="majorEastAsia" w:cstheme="majorEastAsia"/>
          <w:sz w:val="32"/>
          <w:szCs w:val="32"/>
        </w:rPr>
      </w:pPr>
      <w:r>
        <w:rPr>
          <w:rFonts w:hint="eastAsia" w:asciiTheme="majorEastAsia" w:hAnsiTheme="majorEastAsia" w:eastAsiaTheme="majorEastAsia" w:cstheme="majorEastAsia"/>
          <w:b/>
          <w:sz w:val="32"/>
          <w:szCs w:val="32"/>
        </w:rPr>
        <w:t>六、评价工作组人员名单及签字</w:t>
      </w:r>
      <w:r>
        <w:rPr>
          <w:rFonts w:hint="eastAsia" w:asciiTheme="majorEastAsia" w:hAnsiTheme="majorEastAsia" w:eastAsiaTheme="majorEastAsia" w:cstheme="majorEastAsia"/>
          <w:sz w:val="32"/>
          <w:szCs w:val="32"/>
        </w:rPr>
        <w:t>（姓名、工作单位、职务、职称）</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1305"/>
        <w:gridCol w:w="1875"/>
        <w:gridCol w:w="1875"/>
        <w:gridCol w:w="18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序号</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姓名</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工作单位</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职务</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1</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夏俊杰</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主席</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2</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赵阳</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副主席</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3</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郝建永</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4</w:t>
            </w: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陆建霞</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藁城区科协</w:t>
            </w: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vertAlign w:val="baseline"/>
                <w:lang w:val="en-US" w:eastAsia="zh-CN"/>
              </w:rPr>
              <w:t>综合办主任</w:t>
            </w: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9"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30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75"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c>
          <w:tcPr>
            <w:tcW w:w="1890" w:type="dxa"/>
          </w:tcPr>
          <w:p>
            <w:pPr>
              <w:numPr>
                <w:ilvl w:val="0"/>
                <w:numId w:val="0"/>
              </w:numPr>
              <w:jc w:val="both"/>
              <w:rPr>
                <w:rFonts w:hint="eastAsia" w:asciiTheme="majorEastAsia" w:hAnsiTheme="majorEastAsia" w:eastAsiaTheme="majorEastAsia" w:cstheme="majorEastAsia"/>
                <w:sz w:val="32"/>
                <w:szCs w:val="32"/>
                <w:vertAlign w:val="baseline"/>
                <w:lang w:val="en-US" w:eastAsia="zh-CN"/>
              </w:rPr>
            </w:pPr>
          </w:p>
        </w:tc>
      </w:tr>
    </w:tbl>
    <w:p>
      <w:pPr>
        <w:numPr>
          <w:ilvl w:val="0"/>
          <w:numId w:val="0"/>
        </w:numPr>
        <w:ind w:leftChars="200"/>
        <w:jc w:val="both"/>
        <w:rPr>
          <w:rFonts w:hint="eastAsia" w:asciiTheme="majorEastAsia" w:hAnsiTheme="majorEastAsia" w:eastAsiaTheme="majorEastAsia" w:cstheme="majorEastAsia"/>
          <w:sz w:val="32"/>
          <w:szCs w:val="32"/>
          <w:vertAlign w:val="baseline"/>
          <w:lang w:val="en-US" w:eastAsia="zh-CN"/>
        </w:rPr>
      </w:pPr>
      <w:r>
        <w:rPr>
          <w:rFonts w:hint="eastAsia" w:asciiTheme="majorEastAsia" w:hAnsiTheme="majorEastAsia" w:eastAsiaTheme="majorEastAsia" w:cstheme="majorEastAsia"/>
          <w:sz w:val="32"/>
          <w:szCs w:val="32"/>
          <w:lang w:val="en-US" w:eastAsia="zh-CN"/>
        </w:rPr>
        <w:t xml:space="preserve"> </w:t>
      </w:r>
    </w:p>
    <w:tbl>
      <w:tblPr>
        <w:tblStyle w:val="6"/>
        <w:tblW w:w="12547" w:type="dxa"/>
        <w:tblInd w:w="0" w:type="dxa"/>
        <w:shd w:val="clear" w:color="auto" w:fill="auto"/>
        <w:tblLayout w:type="fixed"/>
        <w:tblCellMar>
          <w:top w:w="0" w:type="dxa"/>
          <w:left w:w="0" w:type="dxa"/>
          <w:bottom w:w="0" w:type="dxa"/>
          <w:right w:w="0" w:type="dxa"/>
        </w:tblCellMar>
      </w:tblPr>
      <w:tblGrid>
        <w:gridCol w:w="1360"/>
        <w:gridCol w:w="1271"/>
        <w:gridCol w:w="1050"/>
        <w:gridCol w:w="1020"/>
        <w:gridCol w:w="375"/>
        <w:gridCol w:w="705"/>
        <w:gridCol w:w="435"/>
        <w:gridCol w:w="1095"/>
        <w:gridCol w:w="561"/>
        <w:gridCol w:w="835"/>
        <w:gridCol w:w="304"/>
        <w:gridCol w:w="835"/>
        <w:gridCol w:w="525"/>
        <w:gridCol w:w="784"/>
        <w:gridCol w:w="304"/>
        <w:gridCol w:w="784"/>
        <w:gridCol w:w="304"/>
      </w:tblGrid>
      <w:tr>
        <w:tblPrEx>
          <w:shd w:val="clear" w:color="auto" w:fill="auto"/>
          <w:tblCellMar>
            <w:top w:w="0" w:type="dxa"/>
            <w:left w:w="0" w:type="dxa"/>
            <w:bottom w:w="0" w:type="dxa"/>
            <w:right w:w="0" w:type="dxa"/>
          </w:tblCellMar>
        </w:tblPrEx>
        <w:trPr>
          <w:gridAfter w:val="1"/>
          <w:wAfter w:w="304" w:type="dxa"/>
          <w:trHeight w:val="270" w:hRule="atLeast"/>
        </w:trPr>
        <w:tc>
          <w:tcPr>
            <w:tcW w:w="9846" w:type="dxa"/>
            <w:gridSpan w:val="12"/>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b/>
                <w:i w:val="0"/>
                <w:color w:val="000000"/>
                <w:sz w:val="36"/>
                <w:szCs w:val="36"/>
                <w:u w:val="none"/>
              </w:rPr>
            </w:pPr>
            <w:r>
              <w:rPr>
                <w:rFonts w:hint="eastAsia" w:asciiTheme="majorEastAsia" w:hAnsiTheme="majorEastAsia" w:eastAsiaTheme="majorEastAsia" w:cstheme="majorEastAsia"/>
                <w:b/>
                <w:i w:val="0"/>
                <w:color w:val="000000"/>
                <w:kern w:val="0"/>
                <w:sz w:val="36"/>
                <w:szCs w:val="36"/>
                <w:u w:val="none"/>
                <w:lang w:val="en-US" w:eastAsia="zh-CN" w:bidi="ar"/>
              </w:rPr>
              <w:t>科协工作经费项目绩效自评表</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9846" w:type="dxa"/>
            <w:gridSpan w:val="12"/>
            <w:vMerge w:val="continue"/>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b/>
                <w:i w:val="0"/>
                <w:color w:val="000000"/>
                <w:sz w:val="36"/>
                <w:szCs w:val="36"/>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300" w:hRule="atLeast"/>
        </w:trPr>
        <w:tc>
          <w:tcPr>
            <w:tcW w:w="9846" w:type="dxa"/>
            <w:gridSpan w:val="1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2019 年度）</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填报单位：</w:t>
            </w:r>
          </w:p>
        </w:tc>
        <w:tc>
          <w:tcPr>
            <w:tcW w:w="1271"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50"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395"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14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95"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2535" w:type="dxa"/>
            <w:gridSpan w:val="4"/>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单位金额：万元</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540" w:hRule="atLeast"/>
        </w:trPr>
        <w:tc>
          <w:tcPr>
            <w:tcW w:w="13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一、基本情况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项目名称</w:t>
            </w:r>
          </w:p>
        </w:tc>
        <w:tc>
          <w:tcPr>
            <w:tcW w:w="24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科普工作经费</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实施（主管单位）</w:t>
            </w:r>
          </w:p>
        </w:tc>
        <w:tc>
          <w:tcPr>
            <w:tcW w:w="363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石家庄市藁城区科学技术协会</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二、预算执行</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情况</w:t>
            </w:r>
          </w:p>
        </w:tc>
        <w:tc>
          <w:tcPr>
            <w:tcW w:w="232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预算安排情况（调整后）</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资金到位情况</w:t>
            </w:r>
          </w:p>
        </w:tc>
        <w:tc>
          <w:tcPr>
            <w:tcW w:w="249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资金执行情况</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预算执行进度</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预算数：</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到位数：</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执行数：</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lang w:val="en-US" w:eastAsia="zh-CN"/>
              </w:rPr>
            </w:pPr>
            <w:r>
              <w:rPr>
                <w:rFonts w:hint="eastAsia" w:asciiTheme="majorEastAsia" w:hAnsiTheme="majorEastAsia" w:eastAsiaTheme="majorEastAsia" w:cstheme="majorEastAsia"/>
                <w:i w:val="0"/>
                <w:color w:val="000000"/>
                <w:sz w:val="22"/>
                <w:szCs w:val="22"/>
                <w:u w:val="none"/>
                <w:lang w:val="en-US" w:eastAsia="zh-CN"/>
              </w:rPr>
              <w:t>6</w:t>
            </w:r>
          </w:p>
        </w:tc>
        <w:tc>
          <w:tcPr>
            <w:tcW w:w="113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100%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46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其中：财政</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 xml:space="preserve">     资金</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其中：财政</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 xml:space="preserve">     资金</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其中：财政</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 xml:space="preserve">     资金</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6</w:t>
            </w:r>
          </w:p>
        </w:tc>
        <w:tc>
          <w:tcPr>
            <w:tcW w:w="11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xml:space="preserve">     其他</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xml:space="preserve">     其他</w:t>
            </w: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 xml:space="preserve">     其他</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13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三、目标完成</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情况</w:t>
            </w:r>
          </w:p>
        </w:tc>
        <w:tc>
          <w:tcPr>
            <w:tcW w:w="371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年度预算目标</w:t>
            </w:r>
          </w:p>
        </w:tc>
        <w:tc>
          <w:tcPr>
            <w:tcW w:w="363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具体完成情况</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总体完成率</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435"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371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18"/>
                <w:szCs w:val="18"/>
                <w:u w:val="none"/>
              </w:rPr>
            </w:pPr>
            <w:r>
              <w:rPr>
                <w:rFonts w:hint="eastAsia" w:asciiTheme="majorEastAsia" w:hAnsiTheme="majorEastAsia" w:eastAsiaTheme="majorEastAsia" w:cstheme="majorEastAsia"/>
                <w:i w:val="0"/>
                <w:color w:val="000000"/>
                <w:kern w:val="0"/>
                <w:sz w:val="22"/>
                <w:szCs w:val="22"/>
                <w:u w:val="none"/>
                <w:lang w:val="en-US" w:eastAsia="zh-CN" w:bidi="ar"/>
              </w:rPr>
              <w:t>科普工作达到10次以上</w:t>
            </w:r>
          </w:p>
        </w:tc>
        <w:tc>
          <w:tcPr>
            <w:tcW w:w="363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18"/>
                <w:szCs w:val="18"/>
                <w:u w:val="none"/>
              </w:rPr>
            </w:pPr>
            <w:r>
              <w:rPr>
                <w:rFonts w:hint="eastAsia" w:asciiTheme="majorEastAsia" w:hAnsiTheme="majorEastAsia" w:eastAsiaTheme="majorEastAsia" w:cstheme="majorEastAsia"/>
                <w:i w:val="0"/>
                <w:color w:val="000000"/>
                <w:kern w:val="0"/>
                <w:sz w:val="18"/>
                <w:szCs w:val="18"/>
                <w:u w:val="none"/>
                <w:lang w:val="en-US" w:eastAsia="zh-CN" w:bidi="ar"/>
              </w:rPr>
              <w:t>全部完成</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100%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375" w:hRule="atLeast"/>
        </w:trPr>
        <w:tc>
          <w:tcPr>
            <w:tcW w:w="13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四、年度绩效指标完成情况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一级指标</w:t>
            </w:r>
          </w:p>
        </w:tc>
        <w:tc>
          <w:tcPr>
            <w:tcW w:w="10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二级指标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三级指标</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预期指标值</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实际完成值</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自评得分</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36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产出指标</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（40分）</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数量指标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sz w:val="22"/>
                <w:szCs w:val="22"/>
                <w:lang w:val="en-US" w:eastAsia="zh-CN"/>
              </w:rPr>
              <w:t>组织科普活动率</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numPr>
                <w:ilvl w:val="0"/>
                <w:numId w:val="0"/>
              </w:numPr>
              <w:ind w:leftChars="200"/>
              <w:jc w:val="both"/>
              <w:rPr>
                <w:rFonts w:hint="eastAsia" w:asciiTheme="majorEastAsia" w:hAnsiTheme="majorEastAsia" w:eastAsiaTheme="majorEastAsia" w:cstheme="majorEastAsia"/>
                <w:sz w:val="22"/>
                <w:szCs w:val="22"/>
                <w:lang w:val="en-US" w:eastAsia="zh-CN"/>
              </w:rPr>
            </w:pPr>
            <w:r>
              <w:rPr>
                <w:rFonts w:hint="eastAsia" w:asciiTheme="majorEastAsia" w:hAnsiTheme="majorEastAsia" w:eastAsiaTheme="majorEastAsia" w:cstheme="majorEastAsia"/>
                <w:sz w:val="22"/>
                <w:szCs w:val="22"/>
                <w:lang w:val="en-US" w:eastAsia="zh-CN"/>
              </w:rPr>
              <w:t>创新性科普资</w:t>
            </w:r>
          </w:p>
          <w:p>
            <w:pPr>
              <w:jc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sz w:val="22"/>
                <w:szCs w:val="22"/>
                <w:lang w:val="en-US" w:eastAsia="zh-CN"/>
              </w:rPr>
              <w:t>源推广率</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9</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质量指标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2"/>
                <w:szCs w:val="22"/>
                <w:u w:val="none"/>
                <w:lang w:val="en-US" w:eastAsia="zh-CN" w:bidi="ar"/>
              </w:rPr>
              <w:t>发放完成率</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rPr>
            </w:pPr>
            <w:r>
              <w:rPr>
                <w:rFonts w:hint="eastAsia" w:asciiTheme="majorEastAsia" w:hAnsiTheme="majorEastAsia" w:eastAsiaTheme="majorEastAsia" w:cstheme="majorEastAsia"/>
                <w:i w:val="0"/>
                <w:color w:val="000000"/>
                <w:kern w:val="0"/>
                <w:sz w:val="20"/>
                <w:szCs w:val="20"/>
                <w:u w:val="none"/>
                <w:lang w:val="en-US" w:eastAsia="zh-CN" w:bidi="ar"/>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时效指标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及时率</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成本指标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 xml:space="preserve"> </w:t>
            </w:r>
          </w:p>
        </w:tc>
        <w:tc>
          <w:tcPr>
            <w:tcW w:w="1095"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0"/>
                <w:szCs w:val="20"/>
                <w:u w:val="none"/>
              </w:rPr>
            </w:pPr>
          </w:p>
        </w:tc>
        <w:tc>
          <w:tcPr>
            <w:tcW w:w="1396"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16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54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预算执行率指标（10分）</w:t>
            </w:r>
          </w:p>
        </w:tc>
        <w:tc>
          <w:tcPr>
            <w:tcW w:w="105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预算</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执行率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lang w:eastAsia="zh-CN"/>
              </w:rPr>
            </w:pPr>
            <w:r>
              <w:rPr>
                <w:rFonts w:hint="eastAsia" w:asciiTheme="majorEastAsia" w:hAnsiTheme="majorEastAsia" w:eastAsiaTheme="majorEastAsia" w:cstheme="majorEastAsia"/>
                <w:i w:val="0"/>
                <w:color w:val="000000"/>
                <w:sz w:val="20"/>
                <w:szCs w:val="20"/>
                <w:u w:val="none"/>
                <w:lang w:eastAsia="zh-CN"/>
              </w:rPr>
              <w:t>管理制度健全性</w:t>
            </w: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10</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54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效益指标</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（40分）</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经济效益</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社会效益</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2"/>
                <w:szCs w:val="22"/>
                <w:u w:val="none"/>
                <w:lang w:val="en-US" w:eastAsia="zh-CN" w:bidi="ar"/>
              </w:rPr>
              <w:t>内容实用性</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98%</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lang w:val="en-US" w:eastAsia="zh-CN"/>
              </w:rPr>
            </w:pPr>
            <w:r>
              <w:rPr>
                <w:rFonts w:hint="eastAsia" w:asciiTheme="majorEastAsia" w:hAnsiTheme="majorEastAsia" w:eastAsiaTheme="majorEastAsia" w:cstheme="majorEastAsia"/>
                <w:i w:val="0"/>
                <w:color w:val="000000"/>
                <w:sz w:val="20"/>
                <w:szCs w:val="20"/>
                <w:u w:val="none"/>
                <w:lang w:val="en-US" w:eastAsia="zh-CN"/>
              </w:rPr>
              <w:t>38</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可持续影响指标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9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满意度指标</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（10分）</w:t>
            </w:r>
          </w:p>
        </w:tc>
        <w:tc>
          <w:tcPr>
            <w:tcW w:w="10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满意度</w:t>
            </w:r>
            <w:r>
              <w:rPr>
                <w:rFonts w:hint="eastAsia" w:asciiTheme="majorEastAsia" w:hAnsiTheme="majorEastAsia" w:eastAsiaTheme="majorEastAsia" w:cstheme="majorEastAsia"/>
                <w:i w:val="0"/>
                <w:color w:val="000000"/>
                <w:kern w:val="0"/>
                <w:sz w:val="22"/>
                <w:szCs w:val="22"/>
                <w:u w:val="none"/>
                <w:lang w:val="en-US" w:eastAsia="zh-CN" w:bidi="ar"/>
              </w:rPr>
              <w:br w:type="textWrapping"/>
            </w:r>
            <w:r>
              <w:rPr>
                <w:rFonts w:hint="eastAsia" w:asciiTheme="majorEastAsia" w:hAnsiTheme="majorEastAsia" w:eastAsiaTheme="majorEastAsia" w:cstheme="majorEastAsia"/>
                <w:i w:val="0"/>
                <w:color w:val="000000"/>
                <w:kern w:val="0"/>
                <w:sz w:val="22"/>
                <w:szCs w:val="22"/>
                <w:u w:val="none"/>
                <w:lang w:val="en-US" w:eastAsia="zh-CN" w:bidi="ar"/>
              </w:rPr>
              <w:t>指标</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受益群众满意度</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100%</w:t>
            </w: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0"/>
                <w:szCs w:val="20"/>
                <w:u w:val="none"/>
              </w:rPr>
            </w:pPr>
            <w:r>
              <w:rPr>
                <w:rFonts w:hint="eastAsia" w:asciiTheme="majorEastAsia" w:hAnsiTheme="majorEastAsia" w:eastAsiaTheme="majorEastAsia" w:cstheme="majorEastAsia"/>
                <w:i w:val="0"/>
                <w:color w:val="000000"/>
                <w:kern w:val="0"/>
                <w:sz w:val="20"/>
                <w:szCs w:val="20"/>
                <w:u w:val="none"/>
                <w:lang w:val="en-US" w:eastAsia="zh-CN" w:bidi="ar"/>
              </w:rPr>
              <w:t>9</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3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7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0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13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1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0"/>
                <w:szCs w:val="20"/>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240" w:hRule="atLeast"/>
        </w:trPr>
        <w:tc>
          <w:tcPr>
            <w:tcW w:w="13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ajorEastAsia" w:hAnsiTheme="majorEastAsia" w:eastAsiaTheme="majorEastAsia" w:cstheme="majorEastAsia"/>
                <w:i w:val="0"/>
                <w:color w:val="000000"/>
                <w:sz w:val="22"/>
                <w:szCs w:val="22"/>
                <w:u w:val="none"/>
              </w:rPr>
            </w:pPr>
          </w:p>
        </w:tc>
        <w:tc>
          <w:tcPr>
            <w:tcW w:w="595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总分</w:t>
            </w:r>
          </w:p>
        </w:tc>
        <w:tc>
          <w:tcPr>
            <w:tcW w:w="25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lang w:val="en-US"/>
              </w:rPr>
            </w:pPr>
            <w:r>
              <w:rPr>
                <w:rFonts w:hint="eastAsia" w:asciiTheme="majorEastAsia" w:hAnsiTheme="majorEastAsia" w:eastAsiaTheme="majorEastAsia" w:cstheme="majorEastAsia"/>
                <w:i w:val="0"/>
                <w:color w:val="000000"/>
                <w:kern w:val="0"/>
                <w:sz w:val="22"/>
                <w:szCs w:val="22"/>
                <w:u w:val="none"/>
                <w:lang w:val="en-US" w:eastAsia="zh-CN" w:bidi="ar"/>
              </w:rPr>
              <w:t>96</w:t>
            </w: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gridAfter w:val="1"/>
          <w:wAfter w:w="304" w:type="dxa"/>
          <w:trHeight w:val="1005" w:hRule="atLeast"/>
        </w:trPr>
        <w:tc>
          <w:tcPr>
            <w:tcW w:w="13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五、存在问题、原因及下一步整改措施</w:t>
            </w:r>
          </w:p>
        </w:tc>
        <w:tc>
          <w:tcPr>
            <w:tcW w:w="8486"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numPr>
                <w:ilvl w:val="0"/>
                <w:numId w:val="0"/>
              </w:numPr>
              <w:ind w:firstLine="640"/>
              <w:jc w:val="both"/>
              <w:rPr>
                <w:rFonts w:hint="eastAsia" w:asciiTheme="majorEastAsia" w:hAnsiTheme="majorEastAsia" w:eastAsiaTheme="majorEastAsia" w:cstheme="majorEastAsia"/>
                <w:sz w:val="32"/>
                <w:szCs w:val="32"/>
                <w:lang w:val="en-US" w:eastAsia="zh-CN"/>
              </w:rPr>
            </w:pPr>
            <w:r>
              <w:rPr>
                <w:rFonts w:hint="eastAsia" w:asciiTheme="majorEastAsia" w:hAnsiTheme="majorEastAsia" w:eastAsiaTheme="majorEastAsia" w:cstheme="majorEastAsia"/>
                <w:i w:val="0"/>
                <w:color w:val="000000"/>
                <w:kern w:val="0"/>
                <w:sz w:val="22"/>
                <w:szCs w:val="22"/>
                <w:u w:val="none"/>
                <w:lang w:val="en-US" w:eastAsia="zh-CN" w:bidi="ar"/>
              </w:rPr>
              <w:t>通过自评我单位在业务管理方面有了一定的经验，</w:t>
            </w:r>
            <w:r>
              <w:rPr>
                <w:rFonts w:hint="eastAsia" w:asciiTheme="majorEastAsia" w:hAnsiTheme="majorEastAsia" w:eastAsiaTheme="majorEastAsia" w:cstheme="majorEastAsia"/>
                <w:sz w:val="22"/>
                <w:szCs w:val="22"/>
                <w:lang w:val="en-US" w:eastAsia="zh-CN"/>
              </w:rPr>
              <w:t>对2020年的科普工作继续完善，争取为广大群众提高科普知识，打下基础。</w:t>
            </w:r>
          </w:p>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p>
        </w:tc>
        <w:tc>
          <w:tcPr>
            <w:tcW w:w="130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r>
        <w:tblPrEx>
          <w:tblCellMar>
            <w:top w:w="0" w:type="dxa"/>
            <w:left w:w="0" w:type="dxa"/>
            <w:bottom w:w="0" w:type="dxa"/>
            <w:right w:w="0" w:type="dxa"/>
          </w:tblCellMar>
        </w:tblPrEx>
        <w:trPr>
          <w:trHeight w:val="270" w:hRule="atLeast"/>
        </w:trPr>
        <w:tc>
          <w:tcPr>
            <w:tcW w:w="13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填报人：</w:t>
            </w:r>
          </w:p>
        </w:tc>
        <w:tc>
          <w:tcPr>
            <w:tcW w:w="127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p>
        </w:tc>
        <w:tc>
          <w:tcPr>
            <w:tcW w:w="1050"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20" w:type="dxa"/>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Theme="majorEastAsia" w:hAnsiTheme="majorEastAsia" w:eastAsiaTheme="majorEastAsia" w:cstheme="majorEastAsia"/>
                <w:i w:val="0"/>
                <w:color w:val="000000"/>
                <w:sz w:val="22"/>
                <w:szCs w:val="22"/>
                <w:u w:val="none"/>
              </w:rPr>
            </w:pPr>
            <w:r>
              <w:rPr>
                <w:rFonts w:hint="eastAsia" w:asciiTheme="majorEastAsia" w:hAnsiTheme="majorEastAsia" w:eastAsiaTheme="majorEastAsia" w:cstheme="majorEastAsia"/>
                <w:i w:val="0"/>
                <w:color w:val="000000"/>
                <w:kern w:val="0"/>
                <w:sz w:val="22"/>
                <w:szCs w:val="22"/>
                <w:u w:val="none"/>
                <w:lang w:val="en-US" w:eastAsia="zh-CN" w:bidi="ar"/>
              </w:rPr>
              <w:t>联系电话：</w:t>
            </w:r>
          </w:p>
        </w:tc>
        <w:tc>
          <w:tcPr>
            <w:tcW w:w="2091"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Theme="majorEastAsia" w:hAnsiTheme="majorEastAsia" w:eastAsiaTheme="majorEastAsia" w:cstheme="majorEastAsia"/>
                <w:i w:val="0"/>
                <w:color w:val="000000"/>
                <w:sz w:val="22"/>
                <w:szCs w:val="22"/>
                <w:u w:val="none"/>
                <w:lang w:val="en-US"/>
              </w:rPr>
            </w:pPr>
            <w:r>
              <w:rPr>
                <w:rFonts w:hint="eastAsia" w:asciiTheme="majorEastAsia" w:hAnsiTheme="majorEastAsia" w:eastAsiaTheme="majorEastAsia" w:cstheme="majorEastAsia"/>
                <w:i w:val="0"/>
                <w:color w:val="000000"/>
                <w:kern w:val="0"/>
                <w:sz w:val="22"/>
                <w:szCs w:val="22"/>
                <w:u w:val="none"/>
                <w:lang w:val="en-US" w:eastAsia="zh-CN" w:bidi="ar"/>
              </w:rPr>
              <w:t>88042818</w:t>
            </w:r>
          </w:p>
        </w:tc>
        <w:tc>
          <w:tcPr>
            <w:tcW w:w="1139"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360"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c>
          <w:tcPr>
            <w:tcW w:w="1088" w:type="dxa"/>
            <w:gridSpan w:val="2"/>
            <w:tcBorders>
              <w:top w:val="nil"/>
              <w:left w:val="nil"/>
              <w:bottom w:val="nil"/>
              <w:right w:val="nil"/>
            </w:tcBorders>
            <w:shd w:val="clear" w:color="auto" w:fill="auto"/>
            <w:noWrap/>
            <w:tcMar>
              <w:top w:w="15" w:type="dxa"/>
              <w:left w:w="15" w:type="dxa"/>
              <w:right w:w="15" w:type="dxa"/>
            </w:tcMar>
            <w:vAlign w:val="center"/>
          </w:tcPr>
          <w:p>
            <w:pPr>
              <w:rPr>
                <w:rFonts w:hint="eastAsia" w:asciiTheme="majorEastAsia" w:hAnsiTheme="majorEastAsia" w:eastAsiaTheme="majorEastAsia" w:cstheme="majorEastAsia"/>
                <w:i w:val="0"/>
                <w:color w:val="000000"/>
                <w:sz w:val="22"/>
                <w:szCs w:val="22"/>
                <w:u w:val="none"/>
              </w:rPr>
            </w:pPr>
          </w:p>
        </w:tc>
      </w:tr>
    </w:tbl>
    <w:p>
      <w:pPr>
        <w:numPr>
          <w:ilvl w:val="0"/>
          <w:numId w:val="0"/>
        </w:numPr>
        <w:ind w:leftChars="200"/>
        <w:jc w:val="both"/>
        <w:rPr>
          <w:rFonts w:hint="eastAsia" w:asciiTheme="majorEastAsia" w:hAnsiTheme="majorEastAsia" w:eastAsiaTheme="majorEastAsia" w:cstheme="majorEastAsia"/>
          <w:sz w:val="32"/>
          <w:szCs w:val="32"/>
          <w:lang w:val="en-US" w:eastAsia="zh-CN"/>
        </w:rPr>
      </w:pPr>
    </w:p>
    <w:p>
      <w:pPr>
        <w:numPr>
          <w:ilvl w:val="0"/>
          <w:numId w:val="0"/>
        </w:numPr>
        <w:ind w:leftChars="200"/>
        <w:jc w:val="both"/>
        <w:rPr>
          <w:rFonts w:hint="default"/>
          <w:sz w:val="32"/>
          <w:szCs w:val="32"/>
          <w:lang w:val="en-US" w:eastAsia="zh-CN"/>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numPr>
          <w:ilvl w:val="0"/>
          <w:numId w:val="0"/>
        </w:numPr>
        <w:jc w:val="both"/>
        <w:rPr>
          <w:rFonts w:hint="default"/>
          <w:sz w:val="32"/>
          <w:szCs w:val="32"/>
          <w:lang w:val="en-US"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pPr>
        <w:tabs>
          <w:tab w:val="left" w:pos="886"/>
        </w:tabs>
        <w:jc w:val="left"/>
        <w:rPr>
          <w:rFonts w:hint="eastAsia" w:eastAsiaTheme="minorEastAsia"/>
          <w:lang w:eastAsia="zh-CN"/>
        </w:rPr>
      </w:pP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altName w:val="Meiryo UI"/>
    <w:panose1 w:val="020B07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方正小标宋_GBK">
    <w:altName w:val="微软雅黑"/>
    <w:panose1 w:val="03000509000000000000"/>
    <w:charset w:val="86"/>
    <w:family w:val="script"/>
    <w:pitch w:val="default"/>
    <w:sig w:usb0="00000000" w:usb1="00000000" w:usb2="00000010" w:usb3="00000000" w:csb0="00040000" w:csb1="00000000"/>
  </w:font>
  <w:font w:name="方正书宋_GBK">
    <w:altName w:val="Times New Roman"/>
    <w:panose1 w:val="02020603050405020304"/>
    <w:charset w:val="00"/>
    <w:family w:val="roman"/>
    <w:pitch w:val="default"/>
    <w:sig w:usb0="00000000" w:usb1="00000000" w:usb2="00000000" w:usb3="00000000" w:csb0="0004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EF6ECA"/>
    <w:multiLevelType w:val="singleLevel"/>
    <w:tmpl w:val="D4EF6ECA"/>
    <w:lvl w:ilvl="0" w:tentative="0">
      <w:start w:val="2"/>
      <w:numFmt w:val="chineseCounting"/>
      <w:suff w:val="nothing"/>
      <w:lvlText w:val="（%1）"/>
      <w:lvlJc w:val="left"/>
      <w:rPr>
        <w:rFonts w:hint="eastAsia"/>
      </w:rPr>
    </w:lvl>
  </w:abstractNum>
  <w:abstractNum w:abstractNumId="1">
    <w:nsid w:val="EC113B21"/>
    <w:multiLevelType w:val="singleLevel"/>
    <w:tmpl w:val="EC113B21"/>
    <w:lvl w:ilvl="0" w:tentative="0">
      <w:start w:val="2"/>
      <w:numFmt w:val="decimal"/>
      <w:suff w:val="nothing"/>
      <w:lvlText w:val="%1、"/>
      <w:lvlJc w:val="left"/>
    </w:lvl>
  </w:abstractNum>
  <w:abstractNum w:abstractNumId="2">
    <w:nsid w:val="0DF49A38"/>
    <w:multiLevelType w:val="singleLevel"/>
    <w:tmpl w:val="0DF49A38"/>
    <w:lvl w:ilvl="0" w:tentative="0">
      <w:start w:val="4"/>
      <w:numFmt w:val="chineseCounting"/>
      <w:suff w:val="nothing"/>
      <w:lvlText w:val="%1、"/>
      <w:lvlJc w:val="left"/>
      <w:rPr>
        <w:rFonts w:hint="eastAsia"/>
      </w:rPr>
    </w:lvl>
  </w:abstractNum>
  <w:abstractNum w:abstractNumId="3">
    <w:nsid w:val="283D0BEE"/>
    <w:multiLevelType w:val="singleLevel"/>
    <w:tmpl w:val="283D0BEE"/>
    <w:lvl w:ilvl="0" w:tentative="0">
      <w:start w:val="1"/>
      <w:numFmt w:val="chineseCounting"/>
      <w:suff w:val="nothing"/>
      <w:lvlText w:val="（%1）"/>
      <w:lvlJc w:val="left"/>
      <w:rPr>
        <w:rFonts w:hint="eastAsia"/>
      </w:rPr>
    </w:lvl>
  </w:abstractNum>
  <w:abstractNum w:abstractNumId="4">
    <w:nsid w:val="45DB9A87"/>
    <w:multiLevelType w:val="singleLevel"/>
    <w:tmpl w:val="45DB9A87"/>
    <w:lvl w:ilvl="0" w:tentative="0">
      <w:start w:val="3"/>
      <w:numFmt w:val="chineseCounting"/>
      <w:suff w:val="nothing"/>
      <w:lvlText w:val="（%1）"/>
      <w:lvlJc w:val="left"/>
      <w:rPr>
        <w:rFonts w:hint="eastAsia"/>
      </w:rPr>
    </w:lvl>
  </w:abstractNum>
  <w:abstractNum w:abstractNumId="5">
    <w:nsid w:val="6D96B4A8"/>
    <w:multiLevelType w:val="singleLevel"/>
    <w:tmpl w:val="6D96B4A8"/>
    <w:lvl w:ilvl="0" w:tentative="0">
      <w:start w:val="3"/>
      <w:numFmt w:val="decimal"/>
      <w:suff w:val="nothing"/>
      <w:lvlText w:val="%1、"/>
      <w:lvlJc w:val="left"/>
    </w:lvl>
  </w:abstractNum>
  <w:num w:numId="1">
    <w:abstractNumId w:val="3"/>
  </w:num>
  <w:num w:numId="2">
    <w:abstractNumId w:val="4"/>
  </w:num>
  <w:num w:numId="3">
    <w:abstractNumId w:val="5"/>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BC208F"/>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C0530C"/>
    <w:rsid w:val="01C443AE"/>
    <w:rsid w:val="04A07EE7"/>
    <w:rsid w:val="04D66679"/>
    <w:rsid w:val="05B00A30"/>
    <w:rsid w:val="070E0296"/>
    <w:rsid w:val="082024B5"/>
    <w:rsid w:val="08A42F3B"/>
    <w:rsid w:val="09300475"/>
    <w:rsid w:val="0B011416"/>
    <w:rsid w:val="0D28623D"/>
    <w:rsid w:val="0E9D5BCE"/>
    <w:rsid w:val="0F365934"/>
    <w:rsid w:val="10026A93"/>
    <w:rsid w:val="104309DD"/>
    <w:rsid w:val="126617D1"/>
    <w:rsid w:val="13404492"/>
    <w:rsid w:val="1361290C"/>
    <w:rsid w:val="14DD51CC"/>
    <w:rsid w:val="152C5C13"/>
    <w:rsid w:val="15983BAE"/>
    <w:rsid w:val="17B34A32"/>
    <w:rsid w:val="18566F73"/>
    <w:rsid w:val="185D08B3"/>
    <w:rsid w:val="18D70A67"/>
    <w:rsid w:val="19555AAF"/>
    <w:rsid w:val="1CBB7F42"/>
    <w:rsid w:val="1DFF1031"/>
    <w:rsid w:val="1E2E2BE3"/>
    <w:rsid w:val="201015C0"/>
    <w:rsid w:val="213C76CF"/>
    <w:rsid w:val="215E7371"/>
    <w:rsid w:val="21DA107B"/>
    <w:rsid w:val="222553DC"/>
    <w:rsid w:val="24F35C87"/>
    <w:rsid w:val="25FC6F11"/>
    <w:rsid w:val="260C7887"/>
    <w:rsid w:val="28A659DD"/>
    <w:rsid w:val="290735FE"/>
    <w:rsid w:val="2AC00A29"/>
    <w:rsid w:val="2C850E26"/>
    <w:rsid w:val="2CCF24CD"/>
    <w:rsid w:val="2F4E7EE0"/>
    <w:rsid w:val="2FBC52AE"/>
    <w:rsid w:val="2FC87069"/>
    <w:rsid w:val="30C8355F"/>
    <w:rsid w:val="319E21F4"/>
    <w:rsid w:val="31C2036A"/>
    <w:rsid w:val="320D02A5"/>
    <w:rsid w:val="32B142E6"/>
    <w:rsid w:val="32E96052"/>
    <w:rsid w:val="341037B7"/>
    <w:rsid w:val="34176D95"/>
    <w:rsid w:val="348E566F"/>
    <w:rsid w:val="34977AC8"/>
    <w:rsid w:val="34B3092A"/>
    <w:rsid w:val="362C4AEC"/>
    <w:rsid w:val="385C174D"/>
    <w:rsid w:val="393D065C"/>
    <w:rsid w:val="398A717F"/>
    <w:rsid w:val="39AF111C"/>
    <w:rsid w:val="3A226944"/>
    <w:rsid w:val="3AEA518D"/>
    <w:rsid w:val="3AEE6A48"/>
    <w:rsid w:val="3BFC13CB"/>
    <w:rsid w:val="3C1620AA"/>
    <w:rsid w:val="3D8F080F"/>
    <w:rsid w:val="3DB52857"/>
    <w:rsid w:val="3DE15DEE"/>
    <w:rsid w:val="3DE64827"/>
    <w:rsid w:val="3E0E5824"/>
    <w:rsid w:val="3F4D17AE"/>
    <w:rsid w:val="40573086"/>
    <w:rsid w:val="4063654F"/>
    <w:rsid w:val="416572EF"/>
    <w:rsid w:val="43054526"/>
    <w:rsid w:val="44CE1FA4"/>
    <w:rsid w:val="45615B7B"/>
    <w:rsid w:val="485861C9"/>
    <w:rsid w:val="485F1992"/>
    <w:rsid w:val="487F73ED"/>
    <w:rsid w:val="4A347EAE"/>
    <w:rsid w:val="4BD86CE5"/>
    <w:rsid w:val="4D241D33"/>
    <w:rsid w:val="4D384907"/>
    <w:rsid w:val="4E8F285E"/>
    <w:rsid w:val="4FF86824"/>
    <w:rsid w:val="51467078"/>
    <w:rsid w:val="519D6BDB"/>
    <w:rsid w:val="52600405"/>
    <w:rsid w:val="529B4319"/>
    <w:rsid w:val="530C74CE"/>
    <w:rsid w:val="531B0356"/>
    <w:rsid w:val="53264FC4"/>
    <w:rsid w:val="54674A3B"/>
    <w:rsid w:val="55961AF9"/>
    <w:rsid w:val="559F6E78"/>
    <w:rsid w:val="55A17CAF"/>
    <w:rsid w:val="562D39BE"/>
    <w:rsid w:val="57773DD6"/>
    <w:rsid w:val="578B79AB"/>
    <w:rsid w:val="58F643AB"/>
    <w:rsid w:val="59512CA4"/>
    <w:rsid w:val="5C432921"/>
    <w:rsid w:val="5CCD3FD5"/>
    <w:rsid w:val="5DB228E8"/>
    <w:rsid w:val="5E29157D"/>
    <w:rsid w:val="5F0D1239"/>
    <w:rsid w:val="60007752"/>
    <w:rsid w:val="605106FB"/>
    <w:rsid w:val="61B61031"/>
    <w:rsid w:val="61DD4996"/>
    <w:rsid w:val="61FA5F9D"/>
    <w:rsid w:val="631D4871"/>
    <w:rsid w:val="6437319D"/>
    <w:rsid w:val="64CD6910"/>
    <w:rsid w:val="65140D5A"/>
    <w:rsid w:val="65C44196"/>
    <w:rsid w:val="66B94B62"/>
    <w:rsid w:val="677C67DC"/>
    <w:rsid w:val="6789158D"/>
    <w:rsid w:val="67D81BA4"/>
    <w:rsid w:val="699F7862"/>
    <w:rsid w:val="69B8258F"/>
    <w:rsid w:val="6AAF1C96"/>
    <w:rsid w:val="6BC95F05"/>
    <w:rsid w:val="6C8F7AAB"/>
    <w:rsid w:val="6DEA130C"/>
    <w:rsid w:val="6E346D4A"/>
    <w:rsid w:val="6ED5722F"/>
    <w:rsid w:val="75681757"/>
    <w:rsid w:val="759B07C0"/>
    <w:rsid w:val="75A346A8"/>
    <w:rsid w:val="7863469D"/>
    <w:rsid w:val="79194C96"/>
    <w:rsid w:val="798D0C8E"/>
    <w:rsid w:val="799018EB"/>
    <w:rsid w:val="79B9382C"/>
    <w:rsid w:val="7A673F8A"/>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1" Type="http://schemas.openxmlformats.org/officeDocument/2006/relationships/fontTable" Target="fontTable.xml"/><Relationship Id="rId50" Type="http://schemas.openxmlformats.org/officeDocument/2006/relationships/customXml" Target="../customXml/item2.xml"/><Relationship Id="rId5" Type="http://schemas.openxmlformats.org/officeDocument/2006/relationships/footer" Target="footer1.xml"/><Relationship Id="rId49" Type="http://schemas.openxmlformats.org/officeDocument/2006/relationships/numbering" Target="numbering.xml"/><Relationship Id="rId48" Type="http://schemas.openxmlformats.org/officeDocument/2006/relationships/customXml" Target="../customXml/item1.xml"/><Relationship Id="rId47" Type="http://schemas.openxmlformats.org/officeDocument/2006/relationships/image" Target="media/image10.emf"/><Relationship Id="rId46" Type="http://schemas.openxmlformats.org/officeDocument/2006/relationships/oleObject" Target="embeddings/oleObject8.bin"/><Relationship Id="rId45" Type="http://schemas.openxmlformats.org/officeDocument/2006/relationships/image" Target="media/image9.emf"/><Relationship Id="rId44" Type="http://schemas.openxmlformats.org/officeDocument/2006/relationships/oleObject" Target="embeddings/oleObject7.bin"/><Relationship Id="rId43" Type="http://schemas.openxmlformats.org/officeDocument/2006/relationships/image" Target="media/image8.emf"/><Relationship Id="rId42" Type="http://schemas.openxmlformats.org/officeDocument/2006/relationships/oleObject" Target="embeddings/oleObject6.bin"/><Relationship Id="rId41" Type="http://schemas.openxmlformats.org/officeDocument/2006/relationships/image" Target="media/image7.emf"/><Relationship Id="rId40" Type="http://schemas.openxmlformats.org/officeDocument/2006/relationships/oleObject" Target="embeddings/oleObject5.bin"/><Relationship Id="rId4" Type="http://schemas.openxmlformats.org/officeDocument/2006/relationships/header" Target="header2.xml"/><Relationship Id="rId39" Type="http://schemas.openxmlformats.org/officeDocument/2006/relationships/image" Target="media/image6.emf"/><Relationship Id="rId38" Type="http://schemas.openxmlformats.org/officeDocument/2006/relationships/oleObject" Target="embeddings/oleObject4.bin"/><Relationship Id="rId37" Type="http://schemas.openxmlformats.org/officeDocument/2006/relationships/image" Target="media/image5.emf"/><Relationship Id="rId36" Type="http://schemas.openxmlformats.org/officeDocument/2006/relationships/oleObject" Target="embeddings/oleObject3.bin"/><Relationship Id="rId35" Type="http://schemas.openxmlformats.org/officeDocument/2006/relationships/image" Target="media/image4.emf"/><Relationship Id="rId34" Type="http://schemas.openxmlformats.org/officeDocument/2006/relationships/oleObject" Target="embeddings/oleObject2.bin"/><Relationship Id="rId33" Type="http://schemas.openxmlformats.org/officeDocument/2006/relationships/image" Target="media/image3.emf"/><Relationship Id="rId32" Type="http://schemas.openxmlformats.org/officeDocument/2006/relationships/oleObject" Target="embeddings/oleObject1.bin"/><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图1：支出构成情况（按支出 性质）</a:t>
            </a: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1500" b="0" i="0" u="none" strike="noStrike" kern="1200" baseline="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rPr lang="en-US" altLang="zh-CN" sz="150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rPr>
                      <a:t>94.2</a:t>
                    </a:r>
                    <a:r>
                      <a:rPr sz="150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rPr>
                      <a:t>%</a:t>
                    </a:r>
                    <a:endParaRPr sz="150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endParaRPr>
                  </a:p>
                </c:rich>
              </c:tx>
              <c:dLblPos val="ctr"/>
              <c:showLegendKey val="0"/>
              <c:showVal val="0"/>
              <c:showCatName val="0"/>
              <c:showSerName val="0"/>
              <c:showPercent val="1"/>
              <c:showBubbleSize val="0"/>
              <c:extLst>
                <c:ext xmlns:c15="http://schemas.microsoft.com/office/drawing/2012/chart" uri="{CE6537A1-D6FC-4f65-9D91-7224C49458BB}"/>
              </c:extLst>
            </c:dLbl>
            <c:dLbl>
              <c:idx val="1"/>
              <c:layout>
                <c:manualLayout>
                  <c:x val="0.0803809567086737"/>
                  <c:y val="0.179535060038921"/>
                </c:manualLayout>
              </c:layout>
              <c:tx>
                <c:rich>
                  <a:bodyPr rot="0" spcFirstLastPara="0" vertOverflow="ellipsis" vert="horz" wrap="square" lIns="38100" tIns="19050" rIns="38100" bIns="19050" anchor="ctr" anchorCtr="1"/>
                  <a:lstStyle/>
                  <a:p>
                    <a:pPr defTabSz="914400">
                      <a:defRPr lang="zh-CN" sz="1500" b="0" i="0" u="none" strike="noStrike" kern="1200" baseline="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r>
                      <a:rPr lang="en-US" altLang="zh-CN" sz="150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rPr>
                      <a:t>5.8</a:t>
                    </a:r>
                    <a:r>
                      <a:rPr sz="150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rPr>
                      <a:t>%</a:t>
                    </a:r>
                    <a:endParaRPr sz="150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endParaRPr>
                  </a:p>
                </c:rich>
              </c:tx>
              <c:dLblPos val="bestFi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500" b="0" i="0" u="none" strike="noStrike" kern="1200" baseline="0">
                    <a:solidFill>
                      <a:schemeClr val="bg1"/>
                    </a:solidFill>
                    <a:latin typeface="微软雅黑" panose="020B0503020204020204" charset="-122"/>
                    <a:ea typeface="微软雅黑" panose="020B0503020204020204" charset="-122"/>
                    <a:cs typeface="微软雅黑" panose="020B0503020204020204" charset="-122"/>
                    <a:sym typeface="微软雅黑" panose="020B0503020204020204" charset="-122"/>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44.33</c:v>
                </c:pt>
                <c:pt idx="1">
                  <c:v>10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latin typeface="微软雅黑" panose="020B0503020204020204" charset="-122"/>
                <a:ea typeface="微软雅黑" panose="020B0503020204020204" charset="-122"/>
                <a:cs typeface="微软雅黑" panose="020B0503020204020204" charset="-122"/>
              </a:rPr>
              <a:t>图</a:t>
            </a:r>
            <a:r>
              <a:rPr lang="en-US" altLang="zh-CN" sz="1200">
                <a:latin typeface="微软雅黑" panose="020B0503020204020204" charset="-122"/>
                <a:ea typeface="微软雅黑" panose="020B0503020204020204" charset="-122"/>
                <a:cs typeface="微软雅黑" panose="020B0503020204020204" charset="-122"/>
              </a:rPr>
              <a:t>2</a:t>
            </a:r>
            <a:r>
              <a:rPr altLang="en-US" sz="1200">
                <a:latin typeface="微软雅黑" panose="020B0503020204020204" charset="-122"/>
                <a:ea typeface="微软雅黑" panose="020B0503020204020204" charset="-122"/>
                <a:cs typeface="微软雅黑" panose="020B0503020204020204" charset="-122"/>
              </a:rPr>
              <a:t>：</a:t>
            </a:r>
            <a:r>
              <a:rPr lang="en-US" altLang="zh-CN" sz="1200">
                <a:latin typeface="微软雅黑" panose="020B0503020204020204" charset="-122"/>
                <a:ea typeface="微软雅黑" panose="020B0503020204020204" charset="-122"/>
                <a:cs typeface="微软雅黑" panose="020B0503020204020204" charset="-122"/>
              </a:rPr>
              <a:t>2018-2019</a:t>
            </a:r>
            <a:r>
              <a:rPr altLang="en-US" sz="1200">
                <a:latin typeface="微软雅黑" panose="020B0503020204020204" charset="-122"/>
                <a:ea typeface="微软雅黑" panose="020B0503020204020204" charset="-122"/>
                <a:cs typeface="微软雅黑" panose="020B0503020204020204" charset="-122"/>
              </a:rPr>
              <a:t>年度财政拨款收支对比</a:t>
            </a:r>
            <a:r>
              <a:rPr altLang="en-US"/>
              <a:t> （</a:t>
            </a:r>
            <a:r>
              <a:rPr altLang="en-US" sz="1050">
                <a:latin typeface="微软雅黑" panose="020B0503020204020204" charset="-122"/>
                <a:ea typeface="微软雅黑" panose="020B0503020204020204" charset="-122"/>
              </a:rPr>
              <a:t>单位：万）</a:t>
            </a:r>
            <a:endParaRPr altLang="en-US" sz="1050">
              <a:latin typeface="微软雅黑" panose="020B0503020204020204" charset="-122"/>
              <a:ea typeface="微软雅黑" panose="020B0503020204020204"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37.43</c:v>
                </c:pt>
                <c:pt idx="1">
                  <c:v>37.43</c:v>
                </c:pt>
              </c:numCache>
            </c:numRef>
          </c:val>
        </c:ser>
        <c:ser>
          <c:idx val="1"/>
          <c:order val="1"/>
          <c:tx>
            <c:strRef>
              <c:f>Sheet1!$C$1</c:f>
              <c:strCache>
                <c:ptCount val="1"/>
                <c:pt idx="0">
                  <c:v>2019</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54.33</c:v>
                </c:pt>
                <c:pt idx="1">
                  <c:v>54.33</c:v>
                </c:pt>
              </c:numCache>
            </c:numRef>
          </c:val>
        </c:ser>
        <c:dLbls>
          <c:showLegendKey val="0"/>
          <c:showVal val="0"/>
          <c:showCatName val="0"/>
          <c:showSerName val="0"/>
          <c:showPercent val="0"/>
          <c:showBubbleSize val="0"/>
        </c:dLbls>
        <c:gapWidth val="219"/>
        <c:overlap val="-27"/>
        <c:axId val="187059425"/>
        <c:axId val="3848335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870594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833590"/>
        <c:crosses val="autoZero"/>
        <c:auto val="1"/>
        <c:lblAlgn val="ctr"/>
        <c:lblOffset val="100"/>
        <c:noMultiLvlLbl val="0"/>
      </c:catAx>
      <c:valAx>
        <c:axId val="3848335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70594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latin typeface="微软雅黑" panose="020B0503020204020204" charset="-122"/>
                <a:ea typeface="微软雅黑" panose="020B0503020204020204" charset="-122"/>
                <a:cs typeface="微软雅黑" panose="020B0503020204020204" charset="-122"/>
              </a:rPr>
              <a:t>图</a:t>
            </a:r>
            <a:r>
              <a:rPr lang="en-US" altLang="zh-CN" sz="1200">
                <a:latin typeface="微软雅黑" panose="020B0503020204020204" charset="-122"/>
                <a:ea typeface="微软雅黑" panose="020B0503020204020204" charset="-122"/>
                <a:cs typeface="微软雅黑" panose="020B0503020204020204" charset="-122"/>
              </a:rPr>
              <a:t>3</a:t>
            </a:r>
            <a:r>
              <a:rPr altLang="en-US" sz="1200">
                <a:latin typeface="微软雅黑" panose="020B0503020204020204" charset="-122"/>
                <a:ea typeface="微软雅黑" panose="020B0503020204020204" charset="-122"/>
                <a:cs typeface="微软雅黑" panose="020B0503020204020204" charset="-122"/>
              </a:rPr>
              <a:t>：财政拨款收支与预算对比</a:t>
            </a:r>
            <a:r>
              <a:rPr altLang="en-US"/>
              <a:t>        （</a:t>
            </a:r>
            <a:r>
              <a:rPr altLang="en-US" sz="1050">
                <a:latin typeface="微软雅黑" panose="020B0503020204020204" charset="-122"/>
                <a:ea typeface="微软雅黑" panose="020B0503020204020204" charset="-122"/>
              </a:rPr>
              <a:t>单位：万）</a:t>
            </a:r>
            <a:endParaRPr altLang="en-US" sz="1050">
              <a:latin typeface="微软雅黑" panose="020B0503020204020204" charset="-122"/>
              <a:ea typeface="微软雅黑" panose="020B0503020204020204"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预算</c:v>
                </c:pt>
              </c:strCache>
            </c:strRef>
          </c:tx>
          <c:spPr>
            <a:solidFill>
              <a:schemeClr val="accent1"/>
            </a:solidFill>
            <a:ln>
              <a:noFill/>
            </a:ln>
            <a:effectLst/>
          </c:spPr>
          <c:invertIfNegative val="0"/>
          <c:dLbls>
            <c:delete val="1"/>
          </c:dLbls>
          <c:cat>
            <c:strRef>
              <c:f>Sheet1!$A$2:$A$3</c:f>
              <c:strCache>
                <c:ptCount val="2"/>
                <c:pt idx="0">
                  <c:v>收入</c:v>
                </c:pt>
                <c:pt idx="1">
                  <c:v>支出</c:v>
                </c:pt>
              </c:strCache>
            </c:strRef>
          </c:cat>
          <c:val>
            <c:numRef>
              <c:f>Sheet1!$B$2:$B$3</c:f>
              <c:numCache>
                <c:formatCode>General</c:formatCode>
                <c:ptCount val="2"/>
                <c:pt idx="0">
                  <c:v>44.61</c:v>
                </c:pt>
                <c:pt idx="1">
                  <c:v>44.61</c:v>
                </c:pt>
              </c:numCache>
            </c:numRef>
          </c:val>
        </c:ser>
        <c:ser>
          <c:idx val="1"/>
          <c:order val="1"/>
          <c:tx>
            <c:strRef>
              <c:f>Sheet1!$C$1</c:f>
              <c:strCache>
                <c:ptCount val="1"/>
                <c:pt idx="0">
                  <c:v>决算</c:v>
                </c:pt>
              </c:strCache>
            </c:strRef>
          </c:tx>
          <c:spPr>
            <a:solidFill>
              <a:schemeClr val="accent2"/>
            </a:solidFill>
            <a:ln>
              <a:noFill/>
            </a:ln>
            <a:effectLst/>
          </c:spPr>
          <c:invertIfNegative val="0"/>
          <c:dLbls>
            <c:delete val="1"/>
          </c:dLbls>
          <c:cat>
            <c:strRef>
              <c:f>Sheet1!$A$2:$A$3</c:f>
              <c:strCache>
                <c:ptCount val="2"/>
                <c:pt idx="0">
                  <c:v>收入</c:v>
                </c:pt>
                <c:pt idx="1">
                  <c:v>支出</c:v>
                </c:pt>
              </c:strCache>
            </c:strRef>
          </c:cat>
          <c:val>
            <c:numRef>
              <c:f>Sheet1!$C$2:$C$3</c:f>
              <c:numCache>
                <c:formatCode>General</c:formatCode>
                <c:ptCount val="2"/>
                <c:pt idx="0">
                  <c:v>54.33</c:v>
                </c:pt>
                <c:pt idx="1">
                  <c:v>54.33</c:v>
                </c:pt>
              </c:numCache>
            </c:numRef>
          </c:val>
        </c:ser>
        <c:dLbls>
          <c:showLegendKey val="0"/>
          <c:showVal val="0"/>
          <c:showCatName val="0"/>
          <c:showSerName val="0"/>
          <c:showPercent val="0"/>
          <c:showBubbleSize val="0"/>
        </c:dLbls>
        <c:gapWidth val="219"/>
        <c:overlap val="-27"/>
        <c:axId val="187059425"/>
        <c:axId val="384833590"/>
        <c:extLst>
          <c:ext xmlns:c15="http://schemas.microsoft.com/office/drawing/2012/chart" uri="{02D57815-91ED-43cb-92C2-25804820EDAC}">
            <c15:filteredBarSeries>
              <c15:ser>
                <c:idx val="2"/>
                <c:order val="2"/>
                <c:tx>
                  <c:strRef>
                    <c:extLst>
                      <c:ext uri="{02D57815-91ED-43cb-92C2-25804820EDAC}">
                        <c15:formulaRef>
                          <c15:sqref>Sheet1!#REF!</c15:sqref>
                        </c15:formulaRef>
                      </c:ext>
                    </c:extLst>
                    <c:strCache>
                      <c:ptCount val="1"/>
                      <c:pt idx="0">
                        <c:v/>
                      </c:pt>
                    </c:strCache>
                  </c:strRef>
                </c:tx>
                <c:spPr>
                  <a:solidFill>
                    <a:schemeClr val="accent3"/>
                  </a:solidFill>
                  <a:ln>
                    <a:noFill/>
                  </a:ln>
                  <a:effectLst/>
                </c:spPr>
                <c:invertIfNegative val="0"/>
                <c:dLbls>
                  <c:delete val="1"/>
                </c:dLbls>
                <c:cat>
                  <c:strRef>
                    <c:extLst>
                      <c:ext uri="{02D57815-91ED-43cb-92C2-25804820EDAC}">
                        <c15:fullRef>
                          <c15:sqref/>
                        </c15:fullRef>
                        <c15:formulaRef>
                          <c15:sqref>Sheet1!$A$2:$A$3</c15:sqref>
                        </c15:formulaRef>
                      </c:ext>
                    </c:extLst>
                    <c:strCache>
                      <c:ptCount val="2"/>
                      <c:pt idx="0">
                        <c:v>收入</c:v>
                      </c:pt>
                      <c:pt idx="1">
                        <c:v>支出</c:v>
                      </c:pt>
                    </c:strCache>
                  </c:strRef>
                </c:cat>
                <c:val>
                  <c:numRef>
                    <c:extLst>
                      <c:ext uri="{02D57815-91ED-43cb-92C2-25804820EDAC}">
                        <c15:formulaRef>
                          <c15:sqref>Sheet1!#REF!</c15:sqref>
                        </c15:formulaRef>
                      </c:ext>
                    </c:extLst>
                    <c:numCache>
                      <c:formatCode>General</c:formatCode>
                      <c:ptCount val="1"/>
                      <c:pt idx="0">
                        <c:v>1</c:v>
                      </c:pt>
                    </c:numCache>
                  </c:numRef>
                </c:val>
              </c15:ser>
            </c15:filteredBarSeries>
          </c:ext>
        </c:extLst>
      </c:barChart>
      <c:catAx>
        <c:axId val="18705942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84833590"/>
        <c:crosses val="autoZero"/>
        <c:auto val="1"/>
        <c:lblAlgn val="ctr"/>
        <c:lblOffset val="100"/>
        <c:noMultiLvlLbl val="0"/>
      </c:catAx>
      <c:valAx>
        <c:axId val="38483359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solidFill>
            <a:srgbClr val="FFFF00"/>
          </a:solid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87059425"/>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TotalTime>2</TotalTime>
  <ScaleCrop>false</ScaleCrop>
  <LinksUpToDate>false</LinksUpToDate>
  <CharactersWithSpaces>11119</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森林焱炎</cp:lastModifiedBy>
  <cp:lastPrinted>2020-07-30T02:37:00Z</cp:lastPrinted>
  <dcterms:modified xsi:type="dcterms:W3CDTF">2021-05-21T02:56:52Z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0F607FDE987F4C01AA0D53C6FB07AEA6</vt:lpwstr>
  </property>
</Properties>
</file>