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950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950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155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052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745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745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390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848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石家庄市藁城区档案馆</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360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360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一</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、集中统一管理区直机关、乡镇各历史时期的档案资料，保守党和国家机密，维护档案完整，确保档案资料安全。</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、接收区委，区人大，区政府，区政协，区纪委，及区直各机关单位、乡镇应进馆的档案资料。</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三</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、征集散存在社会上对国家和社会有保存价值的珍贵档案资料。</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四</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、负责馆藏档案资料完整的整理、编目、鉴定、统计和技术保护工作。</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五</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、依法开放档案，为党和政府及社会各方面提供利用服务。</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六</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、承担政府公开信息的收集、管理和集中查阅工作。</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七</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、开发档案信息资源，开展档案史料编研出版、展览陈列和社会教育活动。</w:t>
      </w:r>
    </w:p>
    <w:p>
      <w:pPr>
        <w:widowControl/>
        <w:spacing w:after="160" w:line="580" w:lineRule="exact"/>
        <w:ind w:firstLine="1273" w:firstLineChars="398"/>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八</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、运用现代化技术手段，开展馆藏档案信息化建设。</w:t>
      </w:r>
    </w:p>
    <w:p>
      <w:pPr>
        <w:widowControl/>
        <w:spacing w:line="580" w:lineRule="exact"/>
        <w:ind w:firstLine="640" w:firstLineChars="200"/>
        <w:rPr>
          <w:rFonts w:ascii="仿宋_GB2312" w:hAnsi="Calibri" w:eastAsia="仿宋_GB2312" w:cs="ArialUnicodeMS"/>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65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108"/>
        <w:gridCol w:w="2822"/>
        <w:gridCol w:w="27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10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82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74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108"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石家庄市藁城区档案馆</w:t>
            </w:r>
          </w:p>
        </w:tc>
        <w:tc>
          <w:tcPr>
            <w:tcW w:w="282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743"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bookmarkStart w:id="0" w:name="_GoBack"/>
      <w:bookmarkEnd w:id="0"/>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6672"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667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与2018年度决算相比，收支各增加13.71万元，增长7.63%，主要原因是人员增加和项目增加。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如图所示：</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drawing>
          <wp:anchor distT="0" distB="0" distL="114300" distR="114300" simplePos="0" relativeHeight="251680768" behindDoc="0" locked="0" layoutInCell="1" allowOverlap="1">
            <wp:simplePos x="0" y="0"/>
            <wp:positionH relativeFrom="column">
              <wp:posOffset>448945</wp:posOffset>
            </wp:positionH>
            <wp:positionV relativeFrom="paragraph">
              <wp:posOffset>32385</wp:posOffset>
            </wp:positionV>
            <wp:extent cx="5080000" cy="3810000"/>
            <wp:effectExtent l="4445" t="4445" r="20955" b="1460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420" w:firstLineChars="200"/>
        <w:outlineLvl w:val="1"/>
        <w:rPr>
          <w:rFonts w:hint="eastAsia" w:ascii="仿宋_GB2312" w:hAnsi="Times New Roman" w:eastAsia="仿宋_GB2312" w:cs="DengXian-Regular"/>
          <w:sz w:val="32"/>
          <w:szCs w:val="32"/>
          <w:lang w:val="en-US" w:eastAsia="zh-CN"/>
        </w:rPr>
      </w:pPr>
      <w:r>
        <mc:AlternateContent>
          <mc:Choice Requires="wps">
            <w:drawing>
              <wp:anchor distT="0" distB="0" distL="114300" distR="114300" simplePos="0" relativeHeight="251681792" behindDoc="0" locked="0" layoutInCell="1" allowOverlap="1">
                <wp:simplePos x="0" y="0"/>
                <wp:positionH relativeFrom="column">
                  <wp:posOffset>1422400</wp:posOffset>
                </wp:positionH>
                <wp:positionV relativeFrom="paragraph">
                  <wp:posOffset>221615</wp:posOffset>
                </wp:positionV>
                <wp:extent cx="2732405" cy="452120"/>
                <wp:effectExtent l="0" t="0" r="10795" b="5080"/>
                <wp:wrapNone/>
                <wp:docPr id="155" name="文本框 32"/>
                <wp:cNvGraphicFramePr/>
                <a:graphic xmlns:a="http://schemas.openxmlformats.org/drawingml/2006/main">
                  <a:graphicData uri="http://schemas.microsoft.com/office/word/2010/wordprocessingShape">
                    <wps:wsp>
                      <wps:cNvSpPr txBox="1"/>
                      <wps:spPr>
                        <a:xfrm>
                          <a:off x="0" y="0"/>
                          <a:ext cx="2732405" cy="45212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12pt;margin-top:17.45pt;height:35.6pt;width:215.15pt;z-index:251681792;mso-width-relative:page;mso-height-relative:page;" filled="f" stroked="f" coordsize="21600,21600" o:gfxdata="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M2oTWDcAAAACgEAAA8AAAAAAAAAAQAgAAAAIgAAAGRycy9kb3ducmV2LnhtbFBLAQIU&#10;ABQAAAAIAIdO4kAqF0KjKAIAACkEAAAOAAAAAAAAAAEAIAAAACsBAABkcnMvZTJvRG9jLnhtbFBL&#10;BQYAAAAABgAGAFkBAADFBQAAAAA=&#10;">
                <v:fill on="f"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1</w:t>
                      </w:r>
                      <w:r>
                        <w:rPr>
                          <w:rFonts w:hint="eastAsia" w:ascii="仿宋_GB2312" w:hAnsi="Times New Roman" w:eastAsia="仿宋_GB2312" w:cs="DengXian-Regular"/>
                          <w:sz w:val="28"/>
                          <w:szCs w:val="28"/>
                        </w:rPr>
                        <w:t>：收入构成情况</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lang w:val="en-US" w:eastAsia="zh-CN"/>
        </w:rPr>
      </w:pPr>
    </w:p>
    <w:p>
      <w:pPr>
        <w:keepNext/>
        <w:keepLines/>
        <w:snapToGrid w:val="0"/>
        <w:spacing w:line="580" w:lineRule="exact"/>
        <w:ind w:firstLine="640" w:firstLineChars="200"/>
        <w:outlineLvl w:val="1"/>
        <w:rPr>
          <w:rFonts w:hint="eastAsia"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148.4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76.73</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45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23.27</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82816" behindDoc="0" locked="0" layoutInCell="1" allowOverlap="1">
            <wp:simplePos x="0" y="0"/>
            <wp:positionH relativeFrom="column">
              <wp:posOffset>633095</wp:posOffset>
            </wp:positionH>
            <wp:positionV relativeFrom="paragraph">
              <wp:posOffset>95250</wp:posOffset>
            </wp:positionV>
            <wp:extent cx="5004435" cy="3133090"/>
            <wp:effectExtent l="4445" t="4445" r="20320" b="571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mc:AlternateContent>
          <mc:Choice Requires="wps">
            <w:drawing>
              <wp:anchor distT="0" distB="0" distL="114300" distR="114300" simplePos="0" relativeHeight="251683840" behindDoc="0" locked="0" layoutInCell="1" allowOverlap="1">
                <wp:simplePos x="0" y="0"/>
                <wp:positionH relativeFrom="column">
                  <wp:posOffset>1430655</wp:posOffset>
                </wp:positionH>
                <wp:positionV relativeFrom="paragraph">
                  <wp:posOffset>635</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0" y="0"/>
                          <a:ext cx="3314323" cy="483249"/>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2.65pt;margin-top:0.05pt;height:38.05pt;width:260.95pt;z-index:251683840;mso-width-relative:page;mso-height-relative:page;" filled="f" stroked="f" coordsize="21600,21600" o:gfxdata="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k&#10;TQfn1wAAAAcBAAAPAAAAAAAAAAEAIAAAACIAAABkcnMvZG93bnJldi54bWxQSwECFAAUAAAACACH&#10;TuJAMRxhGyUCAAAoBAAADgAAAAAAAAABACAAAAAmAQAAZHJzL2Uyb0RvYy54bWxQSwUGAAAAAAYA&#10;BgBZAQAAvQUAAAAA&#10;">
                <v:fill on="f"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2</w:t>
                      </w:r>
                      <w:r>
                        <w:rPr>
                          <w:rFonts w:hint="eastAsia" w:ascii="仿宋_GB2312" w:hAnsi="Times New Roman" w:eastAsia="仿宋_GB2312" w:cs="DengXian-Regular"/>
                          <w:sz w:val="28"/>
                          <w:szCs w:val="28"/>
                        </w:rPr>
                        <w:t>：支出构成情况（按支出性质）</w:t>
                      </w:r>
                    </w:p>
                    <w:p>
                      <w:pPr>
                        <w:spacing w:after="160" w:line="480" w:lineRule="auto"/>
                        <w:rPr>
                          <w:rFonts w:ascii="Times New Roman" w:hAnsi="Times New Roman" w:eastAsia="宋体" w:cs="Times New Roman"/>
                          <w:sz w:val="20"/>
                        </w:rPr>
                      </w:pPr>
                    </w:p>
                  </w:txbxContent>
                </v:textbox>
              </v:shape>
            </w:pict>
          </mc:Fallback>
        </mc:AlternateContent>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比2018年度增加13.71万元，增长7.63%，主要是人员增加和项目增加；本年支出193.4万元，增加13.71万元，增长7.63%，主要是人员增加和项目增加。</w:t>
      </w:r>
    </w:p>
    <w:p>
      <w:pPr>
        <w:snapToGrid w:val="0"/>
        <w:spacing w:line="580" w:lineRule="exact"/>
        <w:ind w:firstLine="643" w:firstLineChars="200"/>
        <w:rPr>
          <w:rFonts w:hint="eastAsia" w:ascii="仿宋_GB2312" w:hAnsi="Times New Roman" w:eastAsia="楷体_GB2312" w:cs="DengXian-Bold"/>
          <w:b/>
          <w:bCs/>
          <w:sz w:val="32"/>
          <w:szCs w:val="32"/>
          <w:lang w:val="en-US" w:eastAsia="zh-CN"/>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105.71</w:t>
      </w:r>
      <w:r>
        <w:rPr>
          <w:rFonts w:hint="eastAsia" w:ascii="仿宋_GB2312" w:hAnsi="Times New Roman" w:eastAsia="仿宋_GB2312" w:cs="DengXian-Regular"/>
          <w:sz w:val="32"/>
          <w:szCs w:val="32"/>
        </w:rPr>
        <w:t>%（如图</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10.45</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val="en-US" w:eastAsia="zh-CN"/>
        </w:rPr>
        <w:t>项目追加及人员费用的增加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105.71</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10.45</w:t>
      </w:r>
      <w:r>
        <w:rPr>
          <w:rFonts w:hint="eastAsia" w:ascii="仿宋_GB2312" w:hAnsi="Times New Roman" w:eastAsia="仿宋_GB2312" w:cs="DengXian-Regular"/>
          <w:sz w:val="32"/>
          <w:szCs w:val="32"/>
        </w:rPr>
        <w:t>万元，决算数大于预算数主要原因是主要是</w:t>
      </w:r>
      <w:r>
        <w:rPr>
          <w:rFonts w:hint="eastAsia" w:ascii="仿宋_GB2312" w:hAnsi="Times New Roman" w:eastAsia="仿宋_GB2312" w:cs="DengXian-Regular"/>
          <w:sz w:val="32"/>
          <w:szCs w:val="32"/>
          <w:lang w:val="en-US" w:eastAsia="zh-CN"/>
        </w:rPr>
        <w:t>项目追加及人员费用的增加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eastAsia="zh-CN"/>
        </w:rPr>
        <w:drawing>
          <wp:anchor distT="0" distB="0" distL="114300" distR="114300" simplePos="0" relativeHeight="251684864" behindDoc="0" locked="0" layoutInCell="1" allowOverlap="1">
            <wp:simplePos x="0" y="0"/>
            <wp:positionH relativeFrom="column">
              <wp:posOffset>363220</wp:posOffset>
            </wp:positionH>
            <wp:positionV relativeFrom="paragraph">
              <wp:posOffset>102235</wp:posOffset>
            </wp:positionV>
            <wp:extent cx="5080000" cy="3810000"/>
            <wp:effectExtent l="4445" t="4445" r="20955" b="14605"/>
            <wp:wrapNone/>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r>
        <w:rPr>
          <w:sz w:val="32"/>
        </w:rPr>
        <mc:AlternateContent>
          <mc:Choice Requires="wps">
            <w:drawing>
              <wp:anchor distT="0" distB="0" distL="114300" distR="114300" simplePos="0" relativeHeight="251685888" behindDoc="0" locked="0" layoutInCell="1" allowOverlap="1">
                <wp:simplePos x="0" y="0"/>
                <wp:positionH relativeFrom="column">
                  <wp:posOffset>386715</wp:posOffset>
                </wp:positionH>
                <wp:positionV relativeFrom="paragraph">
                  <wp:posOffset>232410</wp:posOffset>
                </wp:positionV>
                <wp:extent cx="5019675" cy="514350"/>
                <wp:effectExtent l="0" t="0" r="9525" b="0"/>
                <wp:wrapNone/>
                <wp:docPr id="42" name="文本框 42"/>
                <wp:cNvGraphicFramePr/>
                <a:graphic xmlns:a="http://schemas.openxmlformats.org/drawingml/2006/main">
                  <a:graphicData uri="http://schemas.microsoft.com/office/word/2010/wordprocessingShape">
                    <wps:wsp>
                      <wps:cNvSpPr txBox="1"/>
                      <wps:spPr>
                        <a:xfrm>
                          <a:off x="3385185" y="6673215"/>
                          <a:ext cx="5019675" cy="51435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snapToGrid w:val="0"/>
                              <w:spacing w:after="0" w:line="560" w:lineRule="atLeast"/>
                              <w:ind w:right="480"/>
                              <w:jc w:val="center"/>
                              <w:rPr>
                                <w:rFonts w:ascii="仿宋_GB2312" w:eastAsia="仿宋_GB2312"/>
                                <w:sz w:val="28"/>
                                <w:szCs w:val="28"/>
                              </w:rPr>
                            </w:pPr>
                            <w:r>
                              <w:rPr>
                                <w:rFonts w:hint="eastAsia" w:ascii="仿宋_GB2312" w:eastAsia="仿宋_GB2312"/>
                                <w:sz w:val="28"/>
                                <w:szCs w:val="28"/>
                                <w:lang w:val="en-US" w:eastAsia="zh-CN"/>
                              </w:rPr>
                              <w:t>图3：</w:t>
                            </w:r>
                            <w:r>
                              <w:rPr>
                                <w:rFonts w:hint="eastAsia" w:ascii="仿宋_GB2312" w:eastAsia="仿宋_GB2312"/>
                                <w:sz w:val="28"/>
                                <w:szCs w:val="28"/>
                              </w:rPr>
                              <w:t>财政拨款收支预决算对比情况</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0.45pt;margin-top:18.3pt;height:40.5pt;width:395.25pt;z-index:251685888;mso-width-relative:page;mso-height-relative:page;" filled="f" stroked="f" coordsize="21600,21600" o:gfxdata="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yqrP4doAAAAJAQAADwAAAAAAAAABACAAAAAiAAAAZHJzL2Rvd25yZXYueG1sUEsB&#10;AhQAFAAAAAgAh07iQCPB6DUsAgAAJgQAAA4AAAAAAAAAAQAgAAAAKQEAAGRycy9lMm9Eb2MueG1s&#10;UEsFBgAAAAAGAAYAWQEAAMcFAAAAAA==&#10;">
                <v:fill on="f" focussize="0,0"/>
                <v:stroke on="f" weight="0.5pt"/>
                <v:imagedata o:title=""/>
                <o:lock v:ext="edit" aspectratio="f"/>
                <v:textbox>
                  <w:txbxContent>
                    <w:p>
                      <w:pPr>
                        <w:pStyle w:val="12"/>
                        <w:snapToGrid w:val="0"/>
                        <w:spacing w:after="0" w:line="560" w:lineRule="atLeast"/>
                        <w:ind w:right="480"/>
                        <w:jc w:val="center"/>
                        <w:rPr>
                          <w:rFonts w:ascii="仿宋_GB2312" w:eastAsia="仿宋_GB2312"/>
                          <w:sz w:val="28"/>
                          <w:szCs w:val="28"/>
                        </w:rPr>
                      </w:pPr>
                      <w:r>
                        <w:rPr>
                          <w:rFonts w:hint="eastAsia" w:ascii="仿宋_GB2312" w:eastAsia="仿宋_GB2312"/>
                          <w:sz w:val="28"/>
                          <w:szCs w:val="28"/>
                          <w:lang w:val="en-US" w:eastAsia="zh-CN"/>
                        </w:rPr>
                        <w:t>图3：</w:t>
                      </w:r>
                      <w:r>
                        <w:rPr>
                          <w:rFonts w:hint="eastAsia" w:ascii="仿宋_GB2312" w:eastAsia="仿宋_GB2312"/>
                          <w:sz w:val="28"/>
                          <w:szCs w:val="28"/>
                        </w:rPr>
                        <w:t>财政拨款收支预决算对比情况</w:t>
                      </w:r>
                    </w:p>
                    <w:p/>
                  </w:txbxContent>
                </v:textbox>
              </v:shape>
            </w:pict>
          </mc:Fallback>
        </mc:AlternateConten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lang w:eastAsia="zh-CN"/>
        </w:rPr>
        <w:drawing>
          <wp:anchor distT="0" distB="0" distL="114300" distR="114300" simplePos="0" relativeHeight="251686912" behindDoc="0" locked="0" layoutInCell="1" allowOverlap="1">
            <wp:simplePos x="0" y="0"/>
            <wp:positionH relativeFrom="column">
              <wp:posOffset>603250</wp:posOffset>
            </wp:positionH>
            <wp:positionV relativeFrom="paragraph">
              <wp:posOffset>734060</wp:posOffset>
            </wp:positionV>
            <wp:extent cx="4595495" cy="2143125"/>
            <wp:effectExtent l="4445" t="4445" r="10160" b="5080"/>
            <wp:wrapNone/>
            <wp:docPr id="43" name="图表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万元，主要用于一般公共服务（类）支出</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如图所示：</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hint="eastAsia" w:ascii="楷体_GB2312" w:hAnsi="Times New Roman" w:eastAsia="楷体_GB2312" w:cs="DengXian-Bold"/>
          <w:b/>
          <w:bCs/>
          <w:sz w:val="32"/>
          <w:szCs w:val="32"/>
          <w:lang w:eastAsia="zh-CN"/>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sz w:val="32"/>
        </w:rPr>
        <mc:AlternateContent>
          <mc:Choice Requires="wps">
            <w:drawing>
              <wp:anchor distT="0" distB="0" distL="114300" distR="114300" simplePos="0" relativeHeight="251675648" behindDoc="1" locked="0" layoutInCell="1" allowOverlap="1">
                <wp:simplePos x="0" y="0"/>
                <wp:positionH relativeFrom="column">
                  <wp:posOffset>1304925</wp:posOffset>
                </wp:positionH>
                <wp:positionV relativeFrom="paragraph">
                  <wp:posOffset>678815</wp:posOffset>
                </wp:positionV>
                <wp:extent cx="3576320" cy="457835"/>
                <wp:effectExtent l="0" t="0" r="0" b="0"/>
                <wp:wrapNone/>
                <wp:docPr id="164" name="文本框 32"/>
                <wp:cNvGraphicFramePr/>
                <a:graphic xmlns:a="http://schemas.openxmlformats.org/drawingml/2006/main">
                  <a:graphicData uri="http://schemas.microsoft.com/office/word/2010/wordprocessingShape">
                    <wps:wsp>
                      <wps:cNvSpPr txBox="1"/>
                      <wps:spPr>
                        <a:xfrm>
                          <a:off x="1989455" y="9253220"/>
                          <a:ext cx="3576320" cy="4578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32" o:spid="_x0000_s1026" o:spt="202" type="#_x0000_t202" style="position:absolute;left:0pt;margin-left:102.75pt;margin-top:53.45pt;height:36.05pt;width:281.6pt;z-index:-251640832;mso-width-relative:page;mso-height-relative:page;" filled="f" stroked="f" coordsize="21600,21600" o:gfxdata="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">
                <v:fill on="f"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w:t>
                      </w:r>
                      <w:r>
                        <w:rPr>
                          <w:rFonts w:hint="eastAsia" w:ascii="仿宋_GB2312" w:hAnsi="Times New Roman" w:eastAsia="仿宋_GB2312" w:cs="DengXian-Regular"/>
                          <w:sz w:val="28"/>
                          <w:szCs w:val="28"/>
                          <w:lang w:val="en-US" w:eastAsia="zh-CN"/>
                        </w:rPr>
                        <w:t>4</w:t>
                      </w:r>
                      <w:r>
                        <w:rPr>
                          <w:rFonts w:hint="eastAsia" w:ascii="仿宋_GB2312" w:hAnsi="Times New Roman" w:eastAsia="仿宋_GB2312" w:cs="DengXian-Regular"/>
                          <w:sz w:val="28"/>
                          <w:szCs w:val="28"/>
                        </w:rPr>
                        <w:t>：财政拨款支出决算结构（按功能分类）</w:t>
                      </w:r>
                    </w:p>
                    <w:p>
                      <w:pPr>
                        <w:spacing w:after="160" w:line="480" w:lineRule="auto"/>
                        <w:rPr>
                          <w:rFonts w:ascii="Times New Roman" w:hAnsi="Times New Roman" w:eastAsia="宋体" w:cs="Times New Roman"/>
                          <w:sz w:val="20"/>
                        </w:rPr>
                      </w:pPr>
                    </w:p>
                  </w:txbxContent>
                </v:textbox>
              </v:shape>
            </w:pict>
          </mc:Fallback>
        </mc:AlternateConten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193.4</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129.72</w:t>
      </w:r>
      <w:r>
        <w:rPr>
          <w:rFonts w:hint="eastAsia" w:ascii="仿宋_GB2312" w:hAnsi="Times New Roman" w:eastAsia="仿宋_GB2312" w:cs="DengXian-Regular"/>
          <w:sz w:val="32"/>
          <w:szCs w:val="32"/>
        </w:rPr>
        <w:t>万元，主要包括基本工资、津贴补贴、奖金、绩效工资、机关事业单位基本养老保险缴费、职业年金缴费、职工基本医疗保险缴费、住房公积金、其他社会保障缴费、其他工资福利支出；公用经费</w:t>
      </w:r>
      <w:r>
        <w:rPr>
          <w:rFonts w:hint="eastAsia" w:ascii="仿宋_GB2312" w:hAnsi="Times New Roman" w:eastAsia="仿宋_GB2312" w:cs="DengXian-Regular"/>
          <w:sz w:val="32"/>
          <w:szCs w:val="32"/>
          <w:lang w:val="en-US" w:eastAsia="zh-CN"/>
        </w:rPr>
        <w:t>18.68</w:t>
      </w:r>
      <w:r>
        <w:rPr>
          <w:rFonts w:hint="eastAsia" w:ascii="仿宋_GB2312" w:hAnsi="Times New Roman" w:eastAsia="仿宋_GB2312" w:cs="DengXian-Regular"/>
          <w:sz w:val="32"/>
          <w:szCs w:val="32"/>
        </w:rPr>
        <w:t>万元，主要包括办公费</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邮电费、取暖费、工会经费、福利费、其他交通费用。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与年初预算0万元持平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val="en-US" w:eastAsia="zh-CN"/>
        </w:rPr>
        <w:t>决算0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与年初与预算0万元持平；与2018年决算支出0万元持平。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未发生“</w:t>
      </w:r>
      <w:r>
        <w:rPr>
          <w:rFonts w:hint="eastAsia" w:ascii="仿宋_GB2312" w:hAnsi="Times New Roman" w:eastAsia="仿宋_GB2312" w:cs="DengXian-Regular"/>
          <w:sz w:val="32"/>
          <w:szCs w:val="32"/>
        </w:rPr>
        <w:t>公务用车购置</w:t>
      </w:r>
      <w:r>
        <w:rPr>
          <w:rFonts w:hint="eastAsia" w:ascii="仿宋_GB2312" w:hAnsi="Times New Roman" w:eastAsia="仿宋_GB2312" w:cs="DengXian-Regular"/>
          <w:sz w:val="32"/>
          <w:szCs w:val="32"/>
          <w:lang w:val="en-US" w:eastAsia="zh-CN"/>
        </w:rPr>
        <w:t>”经费支出。</w:t>
      </w:r>
      <w:r>
        <w:rPr>
          <w:rFonts w:hint="eastAsia" w:ascii="仿宋_GB2312" w:hAnsi="Times New Roman" w:eastAsia="仿宋_GB2312" w:cs="DengXian-Regular"/>
          <w:sz w:val="32"/>
          <w:szCs w:val="32"/>
        </w:rPr>
        <w:t>公务用车购置费支出</w:t>
      </w:r>
      <w:r>
        <w:rPr>
          <w:rFonts w:hint="eastAsia" w:ascii="仿宋_GB2312" w:hAnsi="Times New Roman" w:eastAsia="仿宋_GB2312" w:cs="DengXian-Regular"/>
          <w:sz w:val="32"/>
          <w:szCs w:val="32"/>
          <w:lang w:val="en-US" w:eastAsia="zh-CN"/>
        </w:rPr>
        <w:t>与年初预算0万元持平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与2018年决算支出0万元持平。</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val="en-US"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与年初预算0万元持平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与2018年决算支出0万元持平。</w:t>
      </w:r>
    </w:p>
    <w:p>
      <w:p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val="en-US" w:eastAsia="zh-CN"/>
        </w:rPr>
        <w:t>与年初预算0万元持平</w:t>
      </w:r>
      <w:r>
        <w:rPr>
          <w:rFonts w:hint="eastAsia" w:ascii="仿宋_GB2312" w:hAnsi="Times New Roman" w:eastAsia="仿宋_GB2312" w:cs="DengXian-Regular"/>
          <w:sz w:val="32"/>
          <w:szCs w:val="32"/>
        </w:rPr>
        <w:t>；较</w:t>
      </w:r>
      <w:r>
        <w:rPr>
          <w:rFonts w:hint="eastAsia" w:ascii="仿宋_GB2312" w:hAnsi="Times New Roman" w:eastAsia="仿宋_GB2312" w:cs="DengXian-Regular"/>
          <w:sz w:val="32"/>
          <w:szCs w:val="32"/>
          <w:lang w:val="en-US" w:eastAsia="zh-CN"/>
        </w:rPr>
        <w:t>2018年决算支出0万元持平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45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23.24%</w:t>
      </w:r>
      <w:r>
        <w:rPr>
          <w:rFonts w:hint="eastAsia" w:ascii="仿宋_GB2312" w:hAnsi="仿宋_GB2312" w:eastAsia="仿宋_GB2312" w:cs="仿宋_GB2312"/>
          <w:sz w:val="32"/>
          <w:szCs w:val="32"/>
        </w:rPr>
        <w:t>。组织对“档案日常管理维护费”“档案安全维护”等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40</w:t>
      </w:r>
      <w:r>
        <w:rPr>
          <w:rFonts w:hint="eastAsia" w:ascii="仿宋_GB2312" w:hAnsi="仿宋_GB2312" w:eastAsia="仿宋_GB2312" w:cs="仿宋_GB2312"/>
          <w:sz w:val="32"/>
          <w:szCs w:val="32"/>
        </w:rPr>
        <w:t>万元。其中，对“档案日常管理维护费”“档案安全维护”等项目分别</w:t>
      </w:r>
      <w:r>
        <w:rPr>
          <w:rFonts w:hint="eastAsia" w:ascii="仿宋_GB2312" w:hAnsi="仿宋_GB2312" w:eastAsia="仿宋_GB2312" w:cs="仿宋_GB2312"/>
          <w:sz w:val="32"/>
          <w:szCs w:val="32"/>
          <w:lang w:val="en-US" w:eastAsia="zh-CN"/>
        </w:rPr>
        <w:t>由</w:t>
      </w:r>
      <w:r>
        <w:rPr>
          <w:rFonts w:hint="eastAsia" w:ascii="仿宋_GB2312" w:hAnsi="仿宋_GB2312" w:eastAsia="仿宋_GB2312" w:cs="仿宋_GB2312"/>
          <w:sz w:val="32"/>
          <w:szCs w:val="32"/>
        </w:rPr>
        <w:t>部内评审机构开展绩效评价。从评价情况来看，</w:t>
      </w:r>
      <w:r>
        <w:rPr>
          <w:rFonts w:hint="eastAsia" w:ascii="仿宋_GB2312" w:hAnsi="仿宋_GB2312" w:eastAsia="仿宋_GB2312" w:cs="仿宋_GB2312"/>
          <w:sz w:val="32"/>
          <w:szCs w:val="32"/>
          <w:lang w:val="en-US" w:eastAsia="zh-CN"/>
        </w:rPr>
        <w:t>严格按照</w:t>
      </w:r>
      <w:r>
        <w:rPr>
          <w:rFonts w:hint="eastAsia" w:ascii="仿宋_GB2312" w:hAnsi="仿宋_GB2312" w:eastAsia="仿宋_GB2312" w:cs="仿宋_GB2312"/>
          <w:sz w:val="32"/>
          <w:szCs w:val="32"/>
        </w:rPr>
        <w:t>《藁城区区级部门预算项目绩效自评管理办法》（藁财字[2020]23号）</w:t>
      </w:r>
      <w:r>
        <w:rPr>
          <w:rFonts w:hint="eastAsia" w:ascii="仿宋_GB2312" w:hAnsi="仿宋_GB2312" w:eastAsia="仿宋_GB2312" w:cs="仿宋_GB2312"/>
          <w:sz w:val="32"/>
          <w:szCs w:val="32"/>
          <w:lang w:val="en-US" w:eastAsia="zh-CN"/>
        </w:rPr>
        <w:t>的要求</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评价过程样遵循“</w:t>
      </w:r>
      <w:r>
        <w:rPr>
          <w:rFonts w:hint="eastAsia" w:ascii="仿宋_GB2312" w:hAnsi="仿宋_GB2312" w:eastAsia="仿宋_GB2312" w:cs="仿宋_GB2312"/>
          <w:sz w:val="32"/>
          <w:szCs w:val="32"/>
        </w:rPr>
        <w:t>科学性、规范性、客观性和公正性”的原则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评价结果均为优秀。</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本部门在今年部门决算公开中反映档案日常管理维护费项目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档案安全维护项目等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日常管理维护费项目自评综述：根据年初设定的绩效目标，日常管理维护费项目绩效自评得分为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。项目绩效目标完成情况：一是档案收集整理工作完成率</w:t>
      </w:r>
      <w:r>
        <w:rPr>
          <w:rFonts w:hint="eastAsia" w:ascii="仿宋_GB2312" w:hAnsi="仿宋_GB2312" w:eastAsia="仿宋_GB2312" w:cs="仿宋_GB2312"/>
          <w:sz w:val="32"/>
          <w:szCs w:val="32"/>
          <w:lang w:val="en-US" w:eastAsia="zh-CN"/>
        </w:rPr>
        <w:t>达到98%</w:t>
      </w:r>
      <w:r>
        <w:rPr>
          <w:rFonts w:hint="eastAsia" w:ascii="仿宋_GB2312" w:hAnsi="仿宋_GB2312" w:eastAsia="仿宋_GB2312" w:cs="仿宋_GB2312"/>
          <w:sz w:val="32"/>
          <w:szCs w:val="32"/>
        </w:rPr>
        <w:t>；二是档案管理的规范化标准化的完成率</w:t>
      </w:r>
      <w:r>
        <w:rPr>
          <w:rFonts w:hint="eastAsia" w:ascii="仿宋_GB2312" w:hAnsi="仿宋_GB2312" w:eastAsia="仿宋_GB2312" w:cs="仿宋_GB2312"/>
          <w:sz w:val="32"/>
          <w:szCs w:val="32"/>
          <w:lang w:val="en-US" w:eastAsia="zh-CN"/>
        </w:rPr>
        <w:t>达到98%；三是预算资金使用到位情况达到100%；四是社会影响力达到95%；五是查档群众满意度达到100%</w:t>
      </w:r>
      <w:r>
        <w:rPr>
          <w:rFonts w:hint="eastAsia" w:ascii="仿宋_GB2312" w:hAnsi="仿宋_GB2312" w:eastAsia="仿宋_GB2312" w:cs="仿宋_GB2312"/>
          <w:sz w:val="32"/>
          <w:szCs w:val="32"/>
        </w:rPr>
        <w:t>。发现的主要问题及原因</w:t>
      </w:r>
      <w:r>
        <w:rPr>
          <w:rFonts w:hint="eastAsia" w:ascii="仿宋_GB2312" w:eastAsia="仿宋_GB2312"/>
          <w:sz w:val="32"/>
          <w:szCs w:val="32"/>
          <w:lang w:eastAsia="zh-CN"/>
        </w:rPr>
        <w:t>档案数字化水平有待进一步提高，</w:t>
      </w:r>
      <w:r>
        <w:rPr>
          <w:rFonts w:hint="eastAsia" w:ascii="仿宋_GB2312" w:hAnsi="仿宋_GB2312" w:eastAsia="仿宋_GB2312" w:cs="仿宋_GB2312"/>
          <w:sz w:val="32"/>
          <w:szCs w:val="32"/>
        </w:rPr>
        <w:t>下一步改进措施是</w:t>
      </w:r>
      <w:r>
        <w:rPr>
          <w:rFonts w:hint="eastAsia" w:ascii="仿宋_GB2312" w:eastAsia="仿宋_GB2312"/>
          <w:sz w:val="32"/>
          <w:szCs w:val="32"/>
          <w:lang w:eastAsia="zh-CN"/>
        </w:rPr>
        <w:t>进一步提升档案馆数字化水平</w:t>
      </w:r>
      <w:r>
        <w:rPr>
          <w:rFonts w:hint="eastAsia" w:ascii="仿宋_GB2312" w:hAnsi="仿宋_GB2312" w:eastAsia="仿宋_GB2312" w:cs="仿宋_GB2312"/>
          <w:sz w:val="32"/>
          <w:szCs w:val="32"/>
        </w:rPr>
        <w:t>。</w:t>
      </w:r>
    </w:p>
    <w:tbl>
      <w:tblPr>
        <w:tblStyle w:val="6"/>
        <w:tblpPr w:leftFromText="180" w:rightFromText="180" w:vertAnchor="text" w:horzAnchor="page" w:tblpX="832" w:tblpY="598"/>
        <w:tblOverlap w:val="never"/>
        <w:tblW w:w="104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500"/>
        <w:gridCol w:w="990"/>
        <w:gridCol w:w="1335"/>
        <w:gridCol w:w="1515"/>
        <w:gridCol w:w="1320"/>
        <w:gridCol w:w="1005"/>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45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45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45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5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藁城区档案馆</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1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档案日常管理维护费</w:t>
            </w:r>
          </w:p>
        </w:tc>
        <w:tc>
          <w:tcPr>
            <w:tcW w:w="15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51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根据档案的不同等级采取有效措施,加以整理,保护和保管,使管藏更加丰富,档案保管更加规范化标准化.</w:t>
            </w:r>
          </w:p>
        </w:tc>
        <w:tc>
          <w:tcPr>
            <w:tcW w:w="38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接收整理档案，更换旧卷皮，添置库房“八防”设施设备，对破损档案进行修复，完成年内电子扫描录入工作。</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档案收集整理工作完成率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档案管理的规范化标准化的完成率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社会影响力</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查档群众满意度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66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05"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885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档案数字化率有待进一步提高，进一步提升档案馆数字化水平</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档案安全维护项目绩效自评综述：根据年初设定的绩效目标，日常管理维护费项目绩效自评得分为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按要求</w:t>
      </w:r>
      <w:r>
        <w:rPr>
          <w:rFonts w:hint="eastAsia" w:ascii="仿宋_GB2312" w:hAnsi="仿宋_GB2312" w:eastAsia="仿宋_GB2312" w:cs="仿宋_GB2312"/>
          <w:sz w:val="32"/>
          <w:szCs w:val="32"/>
        </w:rPr>
        <w:t>购置自动灭火器数量</w:t>
      </w:r>
      <w:r>
        <w:rPr>
          <w:rFonts w:hint="eastAsia" w:ascii="仿宋_GB2312" w:hAnsi="仿宋_GB2312" w:eastAsia="仿宋_GB2312" w:cs="仿宋_GB2312"/>
          <w:sz w:val="32"/>
          <w:szCs w:val="32"/>
          <w:lang w:val="en-US" w:eastAsia="zh-CN"/>
        </w:rPr>
        <w:t>4套</w:t>
      </w:r>
      <w:r>
        <w:rPr>
          <w:rFonts w:hint="eastAsia" w:ascii="仿宋_GB2312" w:hAnsi="仿宋_GB2312" w:eastAsia="仿宋_GB2312" w:cs="仿宋_GB2312"/>
          <w:sz w:val="32"/>
          <w:szCs w:val="32"/>
        </w:rPr>
        <w:t>；二是购置质量合格率</w:t>
      </w:r>
      <w:r>
        <w:rPr>
          <w:rFonts w:hint="eastAsia" w:ascii="仿宋_GB2312" w:hAnsi="仿宋_GB2312" w:eastAsia="仿宋_GB2312" w:cs="仿宋_GB2312"/>
          <w:sz w:val="32"/>
          <w:szCs w:val="32"/>
          <w:lang w:val="en-US" w:eastAsia="zh-CN"/>
        </w:rPr>
        <w:t>达到100%；三是预算资金使用到位情况达到100%；四是档案工作管理标准化、规范化程度达到95%；五是使用人员满意度达到100%</w:t>
      </w:r>
      <w:r>
        <w:rPr>
          <w:rFonts w:hint="eastAsia" w:ascii="仿宋_GB2312" w:hAnsi="仿宋_GB2312" w:eastAsia="仿宋_GB2312" w:cs="仿宋_GB2312"/>
          <w:sz w:val="32"/>
          <w:szCs w:val="32"/>
        </w:rPr>
        <w:t>。发现的主要问题及原因</w:t>
      </w:r>
      <w:r>
        <w:rPr>
          <w:rFonts w:hint="eastAsia" w:ascii="仿宋_GB2312" w:eastAsia="仿宋_GB2312"/>
          <w:sz w:val="32"/>
          <w:szCs w:val="32"/>
          <w:lang w:val="en-US" w:eastAsia="zh-CN"/>
        </w:rPr>
        <w:t>自动灭火装置日常管理制度不健全</w:t>
      </w:r>
      <w:r>
        <w:rPr>
          <w:rFonts w:hint="eastAsia" w:ascii="仿宋_GB2312" w:eastAsia="仿宋_GB2312"/>
          <w:sz w:val="32"/>
          <w:szCs w:val="32"/>
          <w:lang w:eastAsia="zh-CN"/>
        </w:rPr>
        <w:t>，</w:t>
      </w:r>
      <w:r>
        <w:rPr>
          <w:rFonts w:hint="eastAsia" w:ascii="仿宋_GB2312" w:hAnsi="仿宋_GB2312" w:eastAsia="仿宋_GB2312" w:cs="仿宋_GB2312"/>
          <w:sz w:val="32"/>
          <w:szCs w:val="32"/>
        </w:rPr>
        <w:t>下一步改进措施是</w:t>
      </w:r>
      <w:r>
        <w:rPr>
          <w:rFonts w:hint="eastAsia" w:ascii="仿宋_GB2312" w:eastAsia="仿宋_GB2312"/>
          <w:sz w:val="32"/>
          <w:szCs w:val="32"/>
          <w:lang w:val="en-US" w:eastAsia="zh-CN"/>
        </w:rPr>
        <w:t>建立健全自动灭火装置日常管理长效机制</w:t>
      </w:r>
      <w:r>
        <w:rPr>
          <w:rFonts w:hint="eastAsia" w:ascii="仿宋_GB2312" w:hAnsi="仿宋_GB2312" w:eastAsia="仿宋_GB2312" w:cs="仿宋_GB2312"/>
          <w:sz w:val="32"/>
          <w:szCs w:val="32"/>
        </w:rPr>
        <w:t>。</w:t>
      </w:r>
    </w:p>
    <w:p>
      <w:pPr>
        <w:numPr>
          <w:ilvl w:val="0"/>
          <w:numId w:val="0"/>
        </w:numPr>
        <w:adjustRightInd w:val="0"/>
        <w:snapToGrid w:val="0"/>
        <w:spacing w:line="580" w:lineRule="exact"/>
        <w:rPr>
          <w:rFonts w:ascii="仿宋_GB2312" w:hAnsi="仿宋_GB2312" w:eastAsia="仿宋_GB2312" w:cs="仿宋_GB2312"/>
          <w:b/>
          <w:bCs/>
          <w:sz w:val="32"/>
          <w:szCs w:val="32"/>
        </w:rPr>
      </w:pPr>
    </w:p>
    <w:tbl>
      <w:tblPr>
        <w:tblStyle w:val="6"/>
        <w:tblpPr w:leftFromText="180" w:rightFromText="180" w:vertAnchor="text" w:horzAnchor="page" w:tblpX="802" w:tblpY="694"/>
        <w:tblOverlap w:val="never"/>
        <w:tblW w:w="10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605"/>
        <w:gridCol w:w="1500"/>
        <w:gridCol w:w="990"/>
        <w:gridCol w:w="1410"/>
        <w:gridCol w:w="1080"/>
        <w:gridCol w:w="1320"/>
        <w:gridCol w:w="1275"/>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72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072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072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5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藁城区档案馆</w:t>
            </w:r>
          </w:p>
        </w:tc>
        <w:tc>
          <w:tcPr>
            <w:tcW w:w="99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282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档案安全维护</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4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藁城区档案馆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20</w:t>
            </w: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20</w:t>
            </w:r>
          </w:p>
        </w:tc>
        <w:tc>
          <w:tcPr>
            <w:tcW w:w="15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20</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20</w:t>
            </w: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加强档案库房的安全管理，对馆藏档案进行保护，实现档案管理标准化、规范化。</w:t>
            </w:r>
          </w:p>
        </w:tc>
        <w:tc>
          <w:tcPr>
            <w:tcW w:w="36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安装自动灭火装置，进一步消除火灾隐患，加强对馆藏档案的保护。</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75" w:hRule="atLeast"/>
        </w:trPr>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95"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购置自动灭火器数量（套）</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4套</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4套</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购置质量合格率</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8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0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档案工作管理标准化、规范化程度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757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00" w:hRule="atLeast"/>
        </w:trPr>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91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自动灭火装置日常管理机制不健全，建立健全自动灭火装置日常管理长效机制。</w:t>
            </w:r>
          </w:p>
        </w:tc>
      </w:tr>
    </w:tbl>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hint="eastAsia"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snapToGrid w:val="0"/>
        <w:spacing w:line="580" w:lineRule="exact"/>
        <w:ind w:firstLine="640" w:firstLineChars="200"/>
        <w:jc w:val="left"/>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藁城区档案馆为事业单位无机关运行经费。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，从采购类型来看，政府采购货物支出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万元、政府采购工程支出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万元、政府采购服务支出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万元。授予中小企业合同金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万元，占政府采购支出总额的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%，其中授予小微企业合同金额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 xml:space="preserve">万元，占政府采购支出总额的 </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截至2019年12月31日，本部门共有车辆0辆，与上年持平。其中，副部（省）级及以上领导用车0辆，主要领导干部用车0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hint="default"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单位价值50万元以上通用设备0台（套），与上年持平，单位价值100万元以上专用设备0台（套），与上年持平。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val="en-US" w:eastAsia="zh-CN"/>
        </w:rPr>
        <w:t>一般公共预算财政拨款“三公”经费、政府性基金预算财政拨款、国有资本经营预算财政拨款</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公开07、08、09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7696"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769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8720"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872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572"/>
        <w:gridCol w:w="960"/>
        <w:gridCol w:w="336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4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石家庄市藁城区档案馆</w:t>
            </w:r>
          </w:p>
        </w:tc>
        <w:tc>
          <w:tcPr>
            <w:tcW w:w="5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74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76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74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01"/>
                <w:tab w:val="right" w:pos="1001"/>
              </w:tabs>
              <w:jc w:val="left"/>
              <w:textAlignment w:val="center"/>
              <w:rPr>
                <w:rFonts w:ascii="宋体" w:hAnsi="宋体" w:eastAsia="宋体" w:cs="宋体"/>
                <w:color w:val="000000"/>
                <w:sz w:val="22"/>
              </w:rPr>
            </w:pP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eastAsia="zh-CN" w:bidi="ar"/>
              </w:rPr>
              <w:t>193.40</w:t>
            </w:r>
            <w:r>
              <w:rPr>
                <w:rFonts w:hint="eastAsia" w:ascii="宋体" w:hAnsi="宋体" w:eastAsia="宋体" w:cs="宋体"/>
                <w:color w:val="000000"/>
                <w:kern w:val="0"/>
                <w:sz w:val="22"/>
                <w:lang w:eastAsia="zh-CN" w:bidi="ar"/>
              </w:rPr>
              <w:tab/>
            </w: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193.40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193.40</w:t>
            </w: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193.40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9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193.40</w:t>
            </w:r>
            <w:r>
              <w:rPr>
                <w:rFonts w:hint="eastAsia" w:ascii="宋体" w:hAnsi="宋体" w:eastAsia="宋体" w:cs="宋体"/>
                <w:color w:val="000000"/>
                <w:kern w:val="0"/>
                <w:sz w:val="22"/>
                <w:lang w:bidi="ar"/>
              </w:rPr>
              <w:t>　</w:t>
            </w:r>
          </w:p>
        </w:tc>
        <w:tc>
          <w:tcPr>
            <w:tcW w:w="33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193.40</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580" w:type="dxa"/>
        <w:jc w:val="center"/>
        <w:tblInd w:w="0" w:type="dxa"/>
        <w:tblLayout w:type="fixed"/>
        <w:tblCellMar>
          <w:top w:w="0" w:type="dxa"/>
          <w:left w:w="0" w:type="dxa"/>
          <w:bottom w:w="0" w:type="dxa"/>
          <w:right w:w="0" w:type="dxa"/>
        </w:tblCellMar>
      </w:tblPr>
      <w:tblGrid>
        <w:gridCol w:w="1008"/>
        <w:gridCol w:w="58"/>
        <w:gridCol w:w="58"/>
        <w:gridCol w:w="1455"/>
        <w:gridCol w:w="1000"/>
        <w:gridCol w:w="1000"/>
        <w:gridCol w:w="1000"/>
        <w:gridCol w:w="1000"/>
        <w:gridCol w:w="1000"/>
        <w:gridCol w:w="1000"/>
        <w:gridCol w:w="1001"/>
      </w:tblGrid>
      <w:tr>
        <w:tblPrEx>
          <w:tblLayout w:type="fixed"/>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57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20126</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档案事务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2012604</w:t>
            </w: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lang w:val="en-US" w:eastAsia="zh-CN"/>
              </w:rPr>
              <w:t>档案馆</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41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00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193.40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148.40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45.00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20126</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档案事务</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148.40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2012604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档案馆</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148.40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45.00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p/>
    <w:p/>
    <w:p/>
    <w:p/>
    <w:p/>
    <w:p/>
    <w:p/>
    <w:p/>
    <w:p/>
    <w:p/>
    <w:p/>
    <w:p/>
    <w:p/>
    <w:p/>
    <w:p/>
    <w:p/>
    <w:p/>
    <w:p/>
    <w:p/>
    <w:p/>
    <w:p/>
    <w:p/>
    <w:tbl>
      <w:tblPr>
        <w:tblStyle w:val="6"/>
        <w:tblW w:w="9520" w:type="dxa"/>
        <w:jc w:val="center"/>
        <w:tblInd w:w="0" w:type="dxa"/>
        <w:tblLayout w:type="fixed"/>
        <w:tblCellMar>
          <w:top w:w="0" w:type="dxa"/>
          <w:left w:w="0" w:type="dxa"/>
          <w:bottom w:w="0" w:type="dxa"/>
          <w:right w:w="0" w:type="dxa"/>
        </w:tblCellMar>
      </w:tblPr>
      <w:tblGrid>
        <w:gridCol w:w="2922"/>
        <w:gridCol w:w="425"/>
        <w:gridCol w:w="662"/>
        <w:gridCol w:w="2829"/>
        <w:gridCol w:w="510"/>
        <w:gridCol w:w="528"/>
        <w:gridCol w:w="855"/>
        <w:gridCol w:w="789"/>
      </w:tblGrid>
      <w:tr>
        <w:tblPrEx>
          <w:tblLayout w:type="fixed"/>
          <w:tblCellMar>
            <w:top w:w="0" w:type="dxa"/>
            <w:left w:w="0" w:type="dxa"/>
            <w:bottom w:w="0" w:type="dxa"/>
            <w:right w:w="0" w:type="dxa"/>
          </w:tblCellMar>
        </w:tblPrEx>
        <w:trPr>
          <w:trHeight w:val="534"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hint="default"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石家庄市藁城区档案馆</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8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1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8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52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8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267"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267"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342"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44"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28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1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8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9990" w:type="dxa"/>
        <w:jc w:val="center"/>
        <w:tblInd w:w="0" w:type="dxa"/>
        <w:tblLayout w:type="fixed"/>
        <w:tblCellMar>
          <w:top w:w="0" w:type="dxa"/>
          <w:left w:w="0" w:type="dxa"/>
          <w:bottom w:w="0" w:type="dxa"/>
          <w:right w:w="0" w:type="dxa"/>
        </w:tblCellMar>
      </w:tblPr>
      <w:tblGrid>
        <w:gridCol w:w="1174"/>
        <w:gridCol w:w="67"/>
        <w:gridCol w:w="67"/>
        <w:gridCol w:w="1695"/>
        <w:gridCol w:w="2329"/>
        <w:gridCol w:w="2329"/>
        <w:gridCol w:w="23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石家庄市藁城区档案馆</w:t>
            </w:r>
          </w:p>
        </w:tc>
        <w:tc>
          <w:tcPr>
            <w:tcW w:w="232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193.40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148.40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color w:val="000000"/>
                <w:sz w:val="22"/>
                <w:lang w:val="en-US" w:eastAsia="zh-CN"/>
              </w:rPr>
              <w:t>45.00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193.40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148.40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45.00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20126</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档案事务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148.40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45.00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2012604</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lang w:val="en-US" w:eastAsia="zh-CN"/>
              </w:rPr>
              <w:t>档案馆</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193.40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148.40</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45.00</w:t>
            </w: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color w:val="000000"/>
          <w:kern w:val="0"/>
          <w:sz w:val="22"/>
          <w:lang w:bidi="ar"/>
        </w:rPr>
        <w:t>注：本表反映部门本年度一般公共预算财政拨款实际支出情况。</w:t>
      </w:r>
      <w:r>
        <w:br w:type="page"/>
      </w:r>
    </w:p>
    <w:tbl>
      <w:tblPr>
        <w:tblStyle w:val="6"/>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129.72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18.68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37.62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5.90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70"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5.81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10.18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3.90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5.62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30.46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0.86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eastAsia" w:ascii="宋体" w:hAnsi="宋体" w:eastAsia="宋体" w:cs="宋体"/>
                <w:color w:val="000000"/>
                <w:sz w:val="20"/>
                <w:szCs w:val="20"/>
                <w:lang w:val="en-US" w:eastAsia="zh-CN"/>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eastAsia"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4.14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129.72</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18.68</w:t>
            </w:r>
          </w:p>
        </w:tc>
      </w:tr>
    </w:tbl>
    <w:p>
      <w:r>
        <w:rPr>
          <w:rFonts w:hint="eastAsia" w:ascii="宋体" w:hAnsi="宋体" w:eastAsia="宋体" w:cs="宋体"/>
        </w:rPr>
        <w:t>注：本表反映部门本年度一般公共预算财政拨款基本支出明细情况。</w:t>
      </w:r>
      <w:r>
        <w:br w:type="page"/>
      </w:r>
    </w:p>
    <w:tbl>
      <w:tblPr>
        <w:tblStyle w:val="6"/>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p>
        </w:tc>
      </w:tr>
    </w:tbl>
    <w:p>
      <w:pPr>
        <w:rPr>
          <w:rFonts w:hint="eastAsia" w:ascii="宋体" w:hAnsi="宋体" w:eastAsia="宋体" w:cs="宋体"/>
        </w:rPr>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p>
    <w:p>
      <w:r>
        <w:rPr>
          <w:rFonts w:hint="eastAsia" w:ascii="宋体" w:hAnsi="宋体" w:eastAsia="宋体" w:cs="宋体"/>
          <w:lang w:val="en-US" w:eastAsia="zh-CN"/>
        </w:rPr>
        <w:t>本部门2019年度未发生一般公共预算财政拨款“三公”经费支出</w:t>
      </w:r>
      <w:r>
        <w:tab/>
      </w:r>
      <w:r>
        <w:tab/>
      </w:r>
      <w:r>
        <w:tab/>
      </w:r>
      <w:r>
        <w:tab/>
      </w:r>
      <w:r>
        <w:tab/>
      </w:r>
      <w:r>
        <w:tab/>
      </w:r>
      <w:r>
        <w:tab/>
      </w:r>
      <w:r>
        <w:tab/>
      </w:r>
      <w:r>
        <w:tab/>
      </w:r>
      <w:r>
        <w:tab/>
      </w:r>
      <w:r>
        <w:br w:type="page"/>
      </w:r>
    </w:p>
    <w:tbl>
      <w:tblPr>
        <w:tblStyle w:val="6"/>
        <w:tblW w:w="9510" w:type="dxa"/>
        <w:jc w:val="center"/>
        <w:tblInd w:w="0" w:type="dxa"/>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val="0"/>
                <w:bCs w:val="0"/>
                <w:color w:val="000000"/>
                <w:sz w:val="22"/>
              </w:rPr>
            </w:pPr>
            <w:r>
              <w:rPr>
                <w:rFonts w:hint="eastAsia" w:ascii="宋体" w:hAnsi="宋体" w:eastAsia="宋体" w:cs="宋体"/>
                <w:b w:val="0"/>
                <w:bCs w:val="0"/>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val="0"/>
                <w:color w:val="000000"/>
                <w:sz w:val="22"/>
                <w:lang w:val="en-US" w:eastAsia="zh-CN"/>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jc w:val="left"/>
      </w:pPr>
    </w:p>
    <w:p>
      <w:pPr>
        <w:jc w:val="left"/>
        <w:rPr>
          <w:rFonts w:hint="default"/>
          <w:lang w:val="en-US"/>
        </w:rPr>
      </w:pPr>
      <w:r>
        <w:rPr>
          <w:rFonts w:hint="eastAsia"/>
          <w:lang w:val="en-US" w:eastAsia="zh-CN"/>
        </w:rPr>
        <w:t>注：本部门2019年度未发生政府性基金预算财政拨款收入支出经费</w:t>
      </w: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p>
      <w:pPr>
        <w:jc w:val="left"/>
      </w:pPr>
    </w:p>
    <w:tbl>
      <w:tblPr>
        <w:tblStyle w:val="6"/>
        <w:tblW w:w="9915" w:type="dxa"/>
        <w:jc w:val="center"/>
        <w:tblInd w:w="0" w:type="dxa"/>
        <w:tblLayout w:type="fixed"/>
        <w:tblCellMar>
          <w:top w:w="0" w:type="dxa"/>
          <w:left w:w="0" w:type="dxa"/>
          <w:bottom w:w="0" w:type="dxa"/>
          <w:right w:w="0" w:type="dxa"/>
        </w:tblCellMar>
      </w:tblPr>
      <w:tblGrid>
        <w:gridCol w:w="1288"/>
        <w:gridCol w:w="74"/>
        <w:gridCol w:w="74"/>
        <w:gridCol w:w="3798"/>
        <w:gridCol w:w="961"/>
        <w:gridCol w:w="1860"/>
        <w:gridCol w:w="1860"/>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val="en-US" w:eastAsia="zh-CN" w:bidi="ar"/>
              </w:rPr>
              <w:t>石家庄市藁城区档案馆</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val="0"/>
                <w:bCs/>
                <w:color w:val="000000"/>
                <w:sz w:val="22"/>
                <w:lang w:val="en-US" w:eastAsia="zh-CN"/>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val="0"/>
                <w:bCs/>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
      <w:r>
        <w:rPr>
          <w:rFonts w:hint="eastAsia"/>
          <w:lang w:val="en-US" w:eastAsia="zh-CN"/>
        </w:rPr>
        <w:t>注：本部门2019年度未发生国有资本经营预算财政拨款支出经费</w:t>
      </w:r>
      <w:r>
        <w:br w:type="page"/>
      </w:r>
    </w:p>
    <w:p>
      <w:r>
        <mc:AlternateContent>
          <mc:Choice Requires="wps">
            <w:drawing>
              <wp:anchor distT="0" distB="0" distL="114300" distR="114300" simplePos="0" relativeHeight="251679744"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974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8556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88556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8659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88659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4923B60"/>
    <w:rsid w:val="05B00A30"/>
    <w:rsid w:val="05DA3729"/>
    <w:rsid w:val="0660180E"/>
    <w:rsid w:val="0B011416"/>
    <w:rsid w:val="11D13564"/>
    <w:rsid w:val="16085925"/>
    <w:rsid w:val="164C462C"/>
    <w:rsid w:val="1CCF36A8"/>
    <w:rsid w:val="268507DB"/>
    <w:rsid w:val="31C2036A"/>
    <w:rsid w:val="320D02A5"/>
    <w:rsid w:val="346E441D"/>
    <w:rsid w:val="348E566F"/>
    <w:rsid w:val="35AA302F"/>
    <w:rsid w:val="3667391F"/>
    <w:rsid w:val="39832AB5"/>
    <w:rsid w:val="3A226944"/>
    <w:rsid w:val="3AEE6A48"/>
    <w:rsid w:val="3C1620AA"/>
    <w:rsid w:val="3D8F080F"/>
    <w:rsid w:val="3DB54D34"/>
    <w:rsid w:val="3F3744B1"/>
    <w:rsid w:val="3FDA5101"/>
    <w:rsid w:val="44394DB9"/>
    <w:rsid w:val="44CE1FA4"/>
    <w:rsid w:val="485D7351"/>
    <w:rsid w:val="487F73ED"/>
    <w:rsid w:val="4A21041E"/>
    <w:rsid w:val="4A347EAE"/>
    <w:rsid w:val="4F9E38C7"/>
    <w:rsid w:val="52600405"/>
    <w:rsid w:val="529B4319"/>
    <w:rsid w:val="55C7103D"/>
    <w:rsid w:val="571C7A48"/>
    <w:rsid w:val="57773DD6"/>
    <w:rsid w:val="578B79AB"/>
    <w:rsid w:val="586F7C51"/>
    <w:rsid w:val="5BDF1FF4"/>
    <w:rsid w:val="5C156CC7"/>
    <w:rsid w:val="5CCD3FD5"/>
    <w:rsid w:val="61465A3E"/>
    <w:rsid w:val="61FA5F9D"/>
    <w:rsid w:val="64CD6910"/>
    <w:rsid w:val="6789158D"/>
    <w:rsid w:val="67D81BA4"/>
    <w:rsid w:val="68DC07FC"/>
    <w:rsid w:val="6A2A7C2E"/>
    <w:rsid w:val="6AAF1C96"/>
    <w:rsid w:val="71674E69"/>
    <w:rsid w:val="75681757"/>
    <w:rsid w:val="7572488C"/>
    <w:rsid w:val="75A346A8"/>
    <w:rsid w:val="79B9382C"/>
    <w:rsid w:val="79E7681B"/>
    <w:rsid w:val="7B043B76"/>
    <w:rsid w:val="7C041A6A"/>
    <w:rsid w:val="7CC337A1"/>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2">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156875"/>
          <c:y val="0.0905"/>
          <c:w val="0.945"/>
          <c:h val="0.760833333333333"/>
        </c:manualLayout>
      </c:layout>
      <c:pie3DChart>
        <c:varyColors val="1"/>
        <c:ser>
          <c:idx val="0"/>
          <c:order val="0"/>
          <c:tx>
            <c:strRef>
              <c:f>Sheet1!$B$1</c:f>
              <c:strCache>
                <c:ptCount val="1"/>
                <c:pt idx="0">
                  <c:v>本年收入</c:v>
                </c:pt>
              </c:strCache>
            </c:strRef>
          </c:tx>
          <c:spPr>
            <a:scene3d>
              <a:camera prst="orthographicFront"/>
              <a:lightRig rig="threePt" dir="t"/>
            </a:scene3d>
            <a:sp3d contourW="9525"/>
          </c:spPr>
          <c:explosion val="0"/>
          <c:dPt>
            <c:idx val="0"/>
            <c:bubble3D val="0"/>
            <c:explosion val="23"/>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a:scene3d>
                <a:camera prst="orthographicFront"/>
                <a:lightRig rig="threePt" dir="t"/>
              </a:scene3d>
              <a:sp3d contourW="9525"/>
            </c:spPr>
          </c:dPt>
          <c:dPt>
            <c:idx val="2"/>
            <c:bubble3D val="0"/>
            <c:spPr>
              <a:solidFill>
                <a:schemeClr val="accent3"/>
              </a:solidFill>
              <a:ln>
                <a:noFill/>
              </a:ln>
              <a:effectLst>
                <a:outerShdw blurRad="254000" sx="102000" sy="102000" algn="ctr" rotWithShape="0">
                  <a:prstClr val="black">
                    <a:alpha val="20000"/>
                  </a:prstClr>
                </a:outerShdw>
              </a:effectLst>
              <a:scene3d>
                <a:camera prst="orthographicFront"/>
                <a:lightRig rig="threePt" dir="t"/>
              </a:scene3d>
              <a:sp3d contourW="9525"/>
            </c:spPr>
          </c:dPt>
          <c:dLbls>
            <c:numFmt formatCode="General" sourceLinked="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Sheet1!$A$2:$A$4</c:f>
              <c:strCache>
                <c:ptCount val="3"/>
                <c:pt idx="0">
                  <c:v>财政拨款收入</c:v>
                </c:pt>
                <c:pt idx="1">
                  <c:v>事业收入</c:v>
                </c:pt>
                <c:pt idx="2">
                  <c:v>其他收入</c:v>
                </c:pt>
              </c:strCache>
            </c:strRef>
          </c:cat>
          <c:val>
            <c:numRef>
              <c:f>Sheet1!$B$2:$B$4</c:f>
              <c:numCache>
                <c:formatCode>General</c:formatCode>
                <c:ptCount val="3"/>
                <c:pt idx="0">
                  <c:v>100</c:v>
                </c:pt>
                <c:pt idx="1">
                  <c:v>0</c:v>
                </c:pt>
                <c:pt idx="2">
                  <c:v>0</c:v>
                </c:pt>
              </c:numCache>
            </c:numRef>
          </c:val>
        </c:ser>
        <c:dLbls>
          <c:showLegendKey val="0"/>
          <c:showVal val="0"/>
          <c:showCatName val="1"/>
          <c:showSerName val="0"/>
          <c:showPercent val="0"/>
          <c:showBubbleSize val="0"/>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t>本年支出</a:t>
            </a:r>
          </a:p>
        </c:rich>
      </c:tx>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9335109757645"/>
          <c:y val="0.140056588520614"/>
          <c:w val="0.945"/>
          <c:h val="0.760833333333333"/>
        </c:manualLayout>
      </c:layout>
      <c:pie3DChart>
        <c:varyColors val="1"/>
        <c:ser>
          <c:idx val="0"/>
          <c:order val="0"/>
          <c:tx>
            <c:strRef>
              <c:f>Sheet1!$B$1</c:f>
              <c:strCache>
                <c:ptCount val="1"/>
                <c:pt idx="0">
                  <c:v>本年支出</c:v>
                </c:pt>
              </c:strCache>
            </c:strRef>
          </c:tx>
          <c:spPr>
            <a:scene3d>
              <a:camera prst="orthographicFront"/>
              <a:lightRig rig="threePt" dir="t"/>
            </a:scene3d>
            <a:sp3d contourW="9525"/>
          </c:spPr>
          <c:explosion val="0"/>
          <c:dPt>
            <c:idx val="0"/>
            <c:bubble3D val="0"/>
            <c:spPr>
              <a:solidFill>
                <a:schemeClr val="accent1"/>
              </a:solidFill>
              <a:ln>
                <a:noFill/>
              </a:ln>
              <a:effectLst>
                <a:outerShdw blurRad="254000" sx="102000" sy="102000" algn="ctr" rotWithShape="0">
                  <a:prstClr val="black">
                    <a:alpha val="20000"/>
                  </a:prstClr>
                </a:outerShdw>
              </a:effectLst>
              <a:scene3d>
                <a:camera prst="orthographicFront"/>
                <a:lightRig rig="threePt" dir="t"/>
              </a:scene3d>
              <a:sp3d contourW="9525"/>
            </c:spPr>
          </c:dPt>
          <c:dPt>
            <c:idx val="1"/>
            <c:bubble3D val="0"/>
            <c:spPr>
              <a:solidFill>
                <a:schemeClr val="accent2"/>
              </a:solidFill>
              <a:ln>
                <a:noFill/>
              </a:ln>
              <a:effectLst>
                <a:outerShdw blurRad="254000" sx="102000" sy="102000" algn="ctr" rotWithShape="0">
                  <a:prstClr val="black">
                    <a:alpha val="20000"/>
                  </a:prstClr>
                </a:outerShdw>
              </a:effectLst>
              <a:scene3d>
                <a:camera prst="orthographicFront"/>
                <a:lightRig rig="threePt" dir="t"/>
              </a:scene3d>
              <a:sp3d contourW="9525"/>
            </c:spPr>
          </c:dPt>
          <c:dLbls>
            <c:dLbl>
              <c:idx val="0"/>
              <c:layout>
                <c:manualLayout>
                  <c:x val="-0.0944531194812911"/>
                  <c:y val="-0.242807764975735"/>
                </c:manualLayout>
              </c:layout>
              <c:dLblPos val="bestFit"/>
              <c:showLegendKey val="0"/>
              <c:showVal val="0"/>
              <c:showCatName val="0"/>
              <c:showSerName val="0"/>
              <c:showPercent val="1"/>
              <c:showBubbleSize val="0"/>
              <c:extLst>
                <c:ext xmlns:c15="http://schemas.microsoft.com/office/drawing/2012/chart" uri="{CE6537A1-D6FC-4f65-9D91-7224C49458BB}">
                  <c15:layout>
                    <c:manualLayout>
                      <c:w val="0.0600177642431164"/>
                      <c:h val="0.077827320632347"/>
                    </c:manualLayout>
                  </c15:layout>
                </c:ext>
              </c:extLst>
            </c:dLbl>
            <c:dLbl>
              <c:idx val="1"/>
              <c:layout>
                <c:manualLayout>
                  <c:x val="0.0993186912108673"/>
                  <c:y val="0.060471782639557"/>
                </c:manualLayout>
              </c:layout>
              <c:dLblPos val="bestFit"/>
              <c:showLegendKey val="0"/>
              <c:showVal val="0"/>
              <c:showCatName val="0"/>
              <c:showSerName val="0"/>
              <c:showPercent val="1"/>
              <c:showBubbleSize val="0"/>
              <c:extLst>
                <c:ext xmlns:c15="http://schemas.microsoft.com/office/drawing/2012/chart" uri="{CE6537A1-D6FC-4f65-9D91-7224C49458BB}">
                  <c15:layout/>
                </c:ext>
              </c:extLst>
            </c:dLbl>
            <c:numFmt formatCode="General" sourceLinked="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0.00_);[Red]\(0.00\)</c:formatCode>
                <c:ptCount val="2"/>
                <c:pt idx="0">
                  <c:v>76.73</c:v>
                </c:pt>
                <c:pt idx="1">
                  <c:v>23.27</c:v>
                </c:pt>
              </c:numCache>
            </c:numRef>
          </c:val>
        </c:ser>
        <c:dLbls>
          <c:showLegendKey val="0"/>
          <c:showVal val="0"/>
          <c:showCatName val="0"/>
          <c:showSerName val="0"/>
          <c:showPercent val="1"/>
          <c:showBubbleSize val="0"/>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457"/>
          <c:y val="0.0866666666666667"/>
          <c:w val="0.927425"/>
          <c:h val="0.717233333333333"/>
        </c:manualLayout>
      </c:layout>
      <c:barChart>
        <c:barDir val="col"/>
        <c:grouping val="clustered"/>
        <c:varyColors val="0"/>
        <c:ser>
          <c:idx val="0"/>
          <c:order val="0"/>
          <c:tx>
            <c:strRef>
              <c:f>Sheet1!$B$1</c:f>
              <c:strCache>
                <c:ptCount val="1"/>
                <c:pt idx="0">
                  <c:v>年初预算数</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收入</c:v>
                </c:pt>
                <c:pt idx="1">
                  <c:v>支出</c:v>
                </c:pt>
              </c:strCache>
            </c:strRef>
          </c:cat>
          <c:val>
            <c:numRef>
              <c:f>Sheet1!$B$2:$B$3</c:f>
              <c:numCache>
                <c:formatCode>General</c:formatCode>
                <c:ptCount val="2"/>
                <c:pt idx="0">
                  <c:v>182.95</c:v>
                </c:pt>
                <c:pt idx="1">
                  <c:v>182.95</c:v>
                </c:pt>
              </c:numCache>
            </c:numRef>
          </c:val>
        </c:ser>
        <c:ser>
          <c:idx val="1"/>
          <c:order val="1"/>
          <c:tx>
            <c:strRef>
              <c:f>Sheet1!$C$1</c:f>
              <c:strCache>
                <c:ptCount val="1"/>
                <c:pt idx="0">
                  <c:v>决算数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收入</c:v>
                </c:pt>
                <c:pt idx="1">
                  <c:v>支出</c:v>
                </c:pt>
              </c:strCache>
            </c:strRef>
          </c:cat>
          <c:val>
            <c:numRef>
              <c:f>Sheet1!$C$2:$C$3</c:f>
              <c:numCache>
                <c:formatCode>General</c:formatCode>
                <c:ptCount val="2"/>
                <c:pt idx="0">
                  <c:v>193.4</c:v>
                </c:pt>
                <c:pt idx="1">
                  <c:v>193.4</c:v>
                </c:pt>
              </c:numCache>
            </c:numRef>
          </c:val>
        </c:ser>
        <c:ser>
          <c:idx val="2"/>
          <c:order val="2"/>
          <c:tx>
            <c:strRef>
              <c:f>Sheet1!#REF!</c:f>
              <c:strCache>
                <c:ptCount val="1"/>
                <c:pt idx="0">
                  <c:v/>
                </c:pt>
              </c:strCache>
            </c:strRef>
          </c:tx>
          <c:spPr>
            <a:solidFill>
              <a:schemeClr val="accent3">
                <a:alpha val="85000"/>
              </a:schemeClr>
            </a:solidFill>
            <a:ln w="9525" cap="flat" cmpd="sng" algn="ctr">
              <a:solidFill>
                <a:schemeClr val="lt1">
                  <a:alpha val="50000"/>
                </a:schemeClr>
              </a:solidFill>
              <a:round/>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1"/>
          <c:showCatName val="0"/>
          <c:showSerName val="0"/>
          <c:showPercent val="0"/>
          <c:showBubbleSize val="0"/>
        </c:dLbls>
        <c:gapWidth val="65"/>
        <c:overlap val="0"/>
        <c:axId val="329863730"/>
        <c:axId val="670690784"/>
      </c:barChart>
      <c:catAx>
        <c:axId val="329863730"/>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670690784"/>
        <c:crosses val="autoZero"/>
        <c:auto val="1"/>
        <c:lblAlgn val="ctr"/>
        <c:lblOffset val="100"/>
        <c:noMultiLvlLbl val="0"/>
      </c:catAx>
      <c:valAx>
        <c:axId val="67069078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txPr>
          <a:bodyPr rot="-6000000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crossAx val="329863730"/>
        <c:crosses val="autoZero"/>
        <c:crossBetween val="between"/>
      </c:valAx>
      <c:spPr>
        <a:noFill/>
        <a:ln>
          <a:noFill/>
        </a:ln>
        <a:effectLst/>
      </c:spPr>
    </c:plotArea>
    <c:legend>
      <c:legendPos val="b"/>
      <c:legendEntry>
        <c:idx val="2"/>
        <c:delete val="1"/>
      </c:legendEntry>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487819538482798"/>
          <c:y val="0.1725"/>
          <c:w val="0.945"/>
          <c:h val="0.760833333333333"/>
        </c:manualLayout>
      </c:layout>
      <c:pie3D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explosion val="0"/>
            <c:spPr>
              <a:solidFill>
                <a:schemeClr val="accent1"/>
              </a:solidFill>
              <a:ln>
                <a:noFill/>
              </a:ln>
              <a:effectLst>
                <a:outerShdw blurRad="254000" sx="102000" sy="102000" algn="ctr" rotWithShape="0">
                  <a:prstClr val="black">
                    <a:alpha val="20000"/>
                  </a:prstClr>
                </a:outerShdw>
              </a:effectLst>
              <a:scene3d>
                <a:camera prst="orthographicFront"/>
                <a:lightRig rig="threePt" dir="t"/>
              </a:scene3d>
              <a:sp3d contourW="9525"/>
            </c:spPr>
          </c:dPt>
          <c:dLbls>
            <c:dLbl>
              <c:idx val="0"/>
              <c:layout>
                <c:manualLayout>
                  <c:x val="-0.00207335341733277"/>
                  <c:y val="-0.40646887161553"/>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c:f>
              <c:strCache>
                <c:ptCount val="1"/>
                <c:pt idx="0">
                  <c:v>一般公共服务支出</c:v>
                </c:pt>
              </c:strCache>
            </c:strRef>
          </c:cat>
          <c:val>
            <c:numRef>
              <c:f>Sheet1!$B$2</c:f>
              <c:numCache>
                <c:formatCode>General</c:formatCode>
                <c:ptCount val="1"/>
                <c:pt idx="0">
                  <c:v>100</c:v>
                </c:pt>
              </c:numCache>
            </c:numRef>
          </c:val>
        </c:ser>
        <c:dLbls>
          <c:showLegendKey val="0"/>
          <c:showVal val="0"/>
          <c:showCatName val="1"/>
          <c:showSerName val="0"/>
          <c:showPercent val="0"/>
          <c:showBubbleSize val="0"/>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27</TotalTime>
  <ScaleCrop>false</ScaleCrop>
  <LinksUpToDate>false</LinksUpToDate>
  <CharactersWithSpaces>11119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lenovo</cp:lastModifiedBy>
  <cp:lastPrinted>2020-07-30T02:37:00Z</cp:lastPrinted>
  <dcterms:modified xsi:type="dcterms:W3CDTF">2021-05-21T09:22:42Z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