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val="0"/>
        <w:snapToGrid w:val="0"/>
        <w:spacing w:line="560" w:lineRule="exact"/>
        <w:ind w:firstLine="320" w:firstLineChars="100"/>
        <w:jc w:val="both"/>
        <w:textAlignment w:val="auto"/>
        <w:rPr>
          <w:rFonts w:hint="eastAsia" w:ascii="仿宋_GB2312" w:eastAsia="仿宋_GB2312"/>
          <w:sz w:val="32"/>
          <w:szCs w:val="32"/>
          <w:lang w:val="en-US" w:eastAsia="zh-CN"/>
        </w:rPr>
      </w:pPr>
      <w:r>
        <w:rPr>
          <w:rFonts w:hint="eastAsia" w:ascii="仿宋_GB2312" w:eastAsia="仿宋_GB2312"/>
          <w:sz w:val="32"/>
          <w:szCs w:val="32"/>
          <w:lang w:val="en-US" w:eastAsia="zh-CN"/>
        </w:rPr>
        <w:t>附件2</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firstLine="880" w:firstLineChars="200"/>
        <w:jc w:val="center"/>
        <w:textAlignment w:val="auto"/>
        <w:rPr>
          <w:rFonts w:hint="eastAsia" w:ascii="方正小标宋简体" w:hAnsi="方正小标宋简体" w:eastAsia="方正小标宋简体" w:cs="方正小标宋简体"/>
          <w:spacing w:val="0"/>
          <w:w w:val="100"/>
          <w:sz w:val="44"/>
          <w:szCs w:val="44"/>
          <w:lang w:val="en-US" w:eastAsia="zh-CN"/>
        </w:rPr>
      </w:pPr>
      <w:r>
        <w:rPr>
          <w:rFonts w:hint="eastAsia" w:ascii="方正小标宋简体" w:hAnsi="方正小标宋简体" w:eastAsia="方正小标宋简体" w:cs="方正小标宋简体"/>
          <w:spacing w:val="0"/>
          <w:w w:val="100"/>
          <w:sz w:val="44"/>
          <w:szCs w:val="44"/>
          <w:lang w:val="en-US" w:eastAsia="zh-CN"/>
        </w:rPr>
        <w:t>藁城区机关事务服务中心关于政府食堂经费2019年度绩效自评报告</w:t>
      </w:r>
    </w:p>
    <w:p>
      <w:pPr>
        <w:keepNext w:val="0"/>
        <w:keepLines w:val="0"/>
        <w:pageBreakBefore w:val="0"/>
        <w:widowControl w:val="0"/>
        <w:kinsoku/>
        <w:wordWrap/>
        <w:overflowPunct/>
        <w:topLinePunct w:val="0"/>
        <w:autoSpaceDE/>
        <w:autoSpaceDN/>
        <w:bidi w:val="0"/>
        <w:spacing w:line="560" w:lineRule="exact"/>
        <w:ind w:left="0" w:leftChars="0" w:firstLine="640" w:firstLineChars="200"/>
        <w:jc w:val="both"/>
        <w:textAlignment w:val="auto"/>
        <w:rPr>
          <w:rFonts w:hint="eastAsia" w:ascii="华文楷体" w:eastAsia="华文楷体"/>
          <w:sz w:val="32"/>
          <w:szCs w:val="32"/>
        </w:rPr>
      </w:pPr>
    </w:p>
    <w:p>
      <w:pPr>
        <w:keepNext w:val="0"/>
        <w:keepLines w:val="0"/>
        <w:pageBreakBefore w:val="0"/>
        <w:widowControl w:val="0"/>
        <w:kinsoku/>
        <w:wordWrap/>
        <w:overflowPunct/>
        <w:topLinePunct w:val="0"/>
        <w:autoSpaceDE/>
        <w:autoSpaceDN/>
        <w:bidi w:val="0"/>
        <w:adjustRightInd w:val="0"/>
        <w:snapToGrid w:val="0"/>
        <w:spacing w:line="560" w:lineRule="exact"/>
        <w:ind w:left="0" w:leftChars="0" w:firstLine="640" w:firstLineChars="200"/>
        <w:jc w:val="both"/>
        <w:textAlignment w:val="auto"/>
        <w:rPr>
          <w:rFonts w:hint="eastAsia" w:ascii="仿宋_GB2312" w:eastAsia="仿宋_GB2312"/>
          <w:sz w:val="32"/>
          <w:szCs w:val="32"/>
          <w:lang w:eastAsia="zh-CN"/>
        </w:rPr>
      </w:pPr>
      <w:r>
        <w:rPr>
          <w:rFonts w:hint="eastAsia" w:ascii="仿宋_GB2312" w:eastAsia="仿宋_GB2312"/>
          <w:sz w:val="32"/>
          <w:szCs w:val="32"/>
          <w:lang w:eastAsia="zh-CN"/>
        </w:rPr>
        <w:t>根据《藁城区区级部门预算项目绩效自评管理办法》（藁财字[2020]23号），遵循“科学性、规范性、客观性和公正性”的原则，对</w:t>
      </w:r>
      <w:r>
        <w:rPr>
          <w:rFonts w:hint="eastAsia" w:ascii="仿宋_GB2312" w:eastAsia="仿宋_GB2312"/>
          <w:sz w:val="32"/>
          <w:szCs w:val="32"/>
          <w:lang w:val="en-US" w:eastAsia="zh-CN"/>
        </w:rPr>
        <w:t>政府食堂经费项目绩效</w:t>
      </w:r>
      <w:r>
        <w:rPr>
          <w:rFonts w:hint="eastAsia" w:ascii="仿宋_GB2312" w:eastAsia="仿宋_GB2312"/>
          <w:sz w:val="32"/>
          <w:szCs w:val="32"/>
          <w:lang w:eastAsia="zh-CN"/>
        </w:rPr>
        <w:t>实施了财政支出绩效自评价，形成本评价报告。</w:t>
      </w:r>
    </w:p>
    <w:p>
      <w:pPr>
        <w:keepNext w:val="0"/>
        <w:keepLines w:val="0"/>
        <w:pageBreakBefore w:val="0"/>
        <w:widowControl w:val="0"/>
        <w:kinsoku/>
        <w:wordWrap/>
        <w:overflowPunct/>
        <w:topLinePunct w:val="0"/>
        <w:autoSpaceDE/>
        <w:autoSpaceDN/>
        <w:bidi w:val="0"/>
        <w:adjustRightInd w:val="0"/>
        <w:snapToGrid w:val="0"/>
        <w:spacing w:line="560" w:lineRule="exact"/>
        <w:ind w:leftChars="0" w:firstLine="640" w:firstLineChars="200"/>
        <w:jc w:val="both"/>
        <w:textAlignment w:val="auto"/>
        <w:rPr>
          <w:rFonts w:hint="eastAsia" w:ascii="黑体" w:eastAsia="黑体"/>
          <w:b/>
          <w:bCs/>
          <w:sz w:val="32"/>
          <w:szCs w:val="36"/>
        </w:rPr>
      </w:pPr>
      <w:r>
        <w:rPr>
          <w:rFonts w:hint="eastAsia" w:ascii="黑体" w:eastAsia="黑体"/>
          <w:sz w:val="32"/>
          <w:szCs w:val="32"/>
        </w:rPr>
        <w:t>一、项目</w:t>
      </w:r>
      <w:r>
        <w:rPr>
          <w:rFonts w:hint="eastAsia" w:ascii="黑体" w:eastAsia="黑体"/>
          <w:sz w:val="32"/>
          <w:szCs w:val="36"/>
        </w:rPr>
        <w:t>基本情况</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firstLine="640" w:firstLineChars="200"/>
        <w:jc w:val="both"/>
        <w:textAlignment w:val="auto"/>
        <w:rPr>
          <w:rFonts w:hint="eastAsia" w:ascii="楷体_GB2312" w:hAnsi="楷体_GB2312" w:eastAsia="楷体_GB2312" w:cs="楷体_GB2312"/>
          <w:sz w:val="32"/>
          <w:szCs w:val="32"/>
        </w:rPr>
      </w:pPr>
      <w:r>
        <w:rPr>
          <w:rFonts w:hint="eastAsia" w:ascii="楷体_GB2312" w:hAnsi="楷体_GB2312" w:eastAsia="楷体_GB2312" w:cs="楷体_GB2312"/>
          <w:sz w:val="32"/>
          <w:szCs w:val="32"/>
        </w:rPr>
        <w:t>（一）项目概况</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firstLine="640" w:firstLineChars="200"/>
        <w:jc w:val="both"/>
        <w:textAlignment w:val="auto"/>
        <w:rPr>
          <w:rFonts w:hint="eastAsia" w:ascii="仿宋_GB2312" w:eastAsia="仿宋_GB2312"/>
          <w:sz w:val="32"/>
          <w:szCs w:val="32"/>
          <w:lang w:eastAsia="zh-CN"/>
        </w:rPr>
      </w:pPr>
      <w:r>
        <w:rPr>
          <w:rFonts w:hint="eastAsia" w:ascii="仿宋_GB2312" w:eastAsia="仿宋_GB2312"/>
          <w:sz w:val="32"/>
          <w:szCs w:val="32"/>
        </w:rPr>
        <w:t xml:space="preserve"> </w:t>
      </w:r>
      <w:r>
        <w:rPr>
          <w:rFonts w:hint="eastAsia" w:ascii="仿宋_GB2312" w:eastAsia="仿宋_GB2312"/>
          <w:sz w:val="32"/>
          <w:szCs w:val="32"/>
          <w:lang w:eastAsia="zh-CN"/>
        </w:rPr>
        <w:t>1.项目实施单位及项目立项等基本情况</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firstLine="640" w:firstLineChars="200"/>
        <w:jc w:val="both"/>
        <w:textAlignment w:val="auto"/>
        <w:rPr>
          <w:rFonts w:hint="eastAsia" w:ascii="仿宋_GB2312" w:eastAsia="仿宋_GB2312"/>
          <w:sz w:val="32"/>
          <w:szCs w:val="32"/>
          <w:lang w:eastAsia="zh-CN"/>
        </w:rPr>
      </w:pPr>
      <w:r>
        <w:rPr>
          <w:rFonts w:hint="eastAsia" w:ascii="仿宋_GB2312" w:eastAsia="仿宋_GB2312"/>
          <w:sz w:val="32"/>
          <w:szCs w:val="32"/>
          <w:lang w:eastAsia="zh-CN"/>
        </w:rPr>
        <w:t>实施单位：藁城区机关事务服务中心</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firstLine="640" w:firstLineChars="200"/>
        <w:jc w:val="both"/>
        <w:textAlignment w:val="auto"/>
        <w:rPr>
          <w:rFonts w:hint="eastAsia" w:ascii="仿宋_GB2312" w:eastAsia="仿宋_GB2312"/>
          <w:sz w:val="32"/>
          <w:szCs w:val="32"/>
          <w:lang w:val="en-US" w:eastAsia="zh-CN"/>
        </w:rPr>
      </w:pPr>
      <w:r>
        <w:rPr>
          <w:rFonts w:hint="eastAsia" w:ascii="仿宋_GB2312" w:eastAsia="仿宋_GB2312"/>
          <w:sz w:val="32"/>
          <w:szCs w:val="32"/>
          <w:lang w:val="en-US" w:eastAsia="zh-CN"/>
        </w:rPr>
        <w:t>项目立项基本情况：依据上级管理要求，为政府东西两院的机关工作人员提供良好的饭菜质量和就餐环境。</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firstLine="640" w:firstLineChars="200"/>
        <w:jc w:val="both"/>
        <w:textAlignment w:val="auto"/>
        <w:rPr>
          <w:rFonts w:hint="eastAsia" w:ascii="仿宋_GB2312" w:eastAsia="仿宋_GB2312"/>
          <w:sz w:val="32"/>
          <w:szCs w:val="32"/>
          <w:lang w:eastAsia="zh-CN"/>
        </w:rPr>
      </w:pPr>
      <w:r>
        <w:rPr>
          <w:rFonts w:hint="eastAsia" w:ascii="仿宋_GB2312" w:eastAsia="仿宋_GB2312"/>
          <w:sz w:val="32"/>
          <w:szCs w:val="32"/>
          <w:lang w:val="en-US" w:eastAsia="zh-CN"/>
        </w:rPr>
        <w:t>2.</w:t>
      </w:r>
      <w:r>
        <w:rPr>
          <w:rFonts w:hint="eastAsia" w:ascii="仿宋_GB2312" w:eastAsia="仿宋_GB2312"/>
          <w:sz w:val="32"/>
          <w:szCs w:val="32"/>
          <w:lang w:eastAsia="zh-CN"/>
        </w:rPr>
        <w:t>项目主要实施内容和范围</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firstLine="640" w:firstLineChars="200"/>
        <w:jc w:val="both"/>
        <w:textAlignment w:val="auto"/>
        <w:rPr>
          <w:rFonts w:hint="eastAsia" w:ascii="仿宋_GB2312" w:eastAsia="仿宋_GB2312"/>
          <w:sz w:val="32"/>
          <w:szCs w:val="32"/>
          <w:lang w:eastAsia="zh-CN"/>
        </w:rPr>
      </w:pPr>
      <w:r>
        <w:rPr>
          <w:rFonts w:hint="eastAsia" w:ascii="仿宋_GB2312" w:eastAsia="仿宋_GB2312"/>
          <w:sz w:val="32"/>
          <w:szCs w:val="32"/>
          <w:lang w:eastAsia="zh-CN"/>
        </w:rPr>
        <w:t>保障机关工作人员的正常用餐和饭菜质量的保障。</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firstLine="640" w:firstLineChars="200"/>
        <w:jc w:val="both"/>
        <w:textAlignment w:val="auto"/>
        <w:rPr>
          <w:rFonts w:hint="eastAsia" w:ascii="仿宋_GB2312" w:eastAsia="仿宋_GB2312"/>
          <w:sz w:val="32"/>
          <w:szCs w:val="32"/>
          <w:lang w:eastAsia="zh-CN"/>
        </w:rPr>
      </w:pPr>
      <w:r>
        <w:rPr>
          <w:rFonts w:hint="eastAsia" w:ascii="仿宋_GB2312" w:eastAsia="仿宋_GB2312"/>
          <w:sz w:val="32"/>
          <w:szCs w:val="32"/>
          <w:lang w:val="en-US" w:eastAsia="zh-CN"/>
        </w:rPr>
        <w:t>3.</w:t>
      </w:r>
      <w:r>
        <w:rPr>
          <w:rFonts w:hint="eastAsia" w:ascii="仿宋_GB2312" w:eastAsia="仿宋_GB2312"/>
          <w:sz w:val="32"/>
          <w:szCs w:val="32"/>
          <w:lang w:eastAsia="zh-CN"/>
        </w:rPr>
        <w:t>项目资金投入情况（资金数量、资金结构、资金来源渠道等）</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firstLine="640" w:firstLineChars="200"/>
        <w:jc w:val="both"/>
        <w:textAlignment w:val="auto"/>
        <w:rPr>
          <w:rFonts w:hint="eastAsia" w:ascii="仿宋_GB2312" w:eastAsia="仿宋_GB2312"/>
          <w:sz w:val="32"/>
          <w:szCs w:val="32"/>
          <w:lang w:val="en-US" w:eastAsia="zh-CN"/>
        </w:rPr>
      </w:pPr>
      <w:r>
        <w:rPr>
          <w:rFonts w:hint="eastAsia" w:ascii="仿宋_GB2312" w:eastAsia="仿宋_GB2312"/>
          <w:sz w:val="32"/>
          <w:szCs w:val="32"/>
          <w:lang w:eastAsia="zh-CN"/>
        </w:rPr>
        <w:t>区财政局拨款</w:t>
      </w:r>
      <w:r>
        <w:rPr>
          <w:rFonts w:hint="eastAsia" w:ascii="仿宋_GB2312" w:eastAsia="仿宋_GB2312"/>
          <w:sz w:val="32"/>
          <w:szCs w:val="32"/>
          <w:lang w:val="en-US" w:eastAsia="zh-CN"/>
        </w:rPr>
        <w:t>18万元，用于政府食堂经费。</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firstLine="640" w:firstLineChars="200"/>
        <w:jc w:val="both"/>
        <w:textAlignment w:val="auto"/>
        <w:rPr>
          <w:rFonts w:hint="default" w:ascii="仿宋_GB2312"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val="0"/>
        <w:spacing w:line="560" w:lineRule="exact"/>
        <w:ind w:left="0" w:leftChars="0" w:firstLine="640" w:firstLineChars="200"/>
        <w:jc w:val="both"/>
        <w:textAlignment w:val="auto"/>
        <w:rPr>
          <w:rFonts w:hint="eastAsia" w:ascii="楷体_GB2312" w:hAnsi="楷体_GB2312" w:eastAsia="楷体_GB2312" w:cs="楷体_GB2312"/>
          <w:sz w:val="32"/>
          <w:szCs w:val="32"/>
        </w:rPr>
      </w:pPr>
      <w:r>
        <w:rPr>
          <w:rFonts w:hint="eastAsia" w:ascii="楷体_GB2312" w:hAnsi="楷体_GB2312" w:eastAsia="楷体_GB2312" w:cs="楷体_GB2312"/>
          <w:sz w:val="32"/>
          <w:szCs w:val="32"/>
        </w:rPr>
        <w:t>（二）项目预期绩效目标</w:t>
      </w:r>
    </w:p>
    <w:p>
      <w:pPr>
        <w:adjustRightInd w:val="0"/>
        <w:snapToGrid w:val="0"/>
        <w:spacing w:line="360" w:lineRule="auto"/>
        <w:ind w:firstLine="640" w:firstLineChars="200"/>
        <w:rPr>
          <w:rFonts w:hint="eastAsia" w:ascii="仿宋_GB2312" w:eastAsia="仿宋_GB2312"/>
          <w:sz w:val="32"/>
          <w:szCs w:val="32"/>
          <w:lang w:eastAsia="zh-CN"/>
        </w:rPr>
      </w:pPr>
      <w:r>
        <w:rPr>
          <w:rFonts w:hint="eastAsia" w:ascii="仿宋_GB2312" w:eastAsia="仿宋_GB2312"/>
          <w:sz w:val="32"/>
          <w:szCs w:val="32"/>
        </w:rPr>
        <w:t>项目预期绩效总目标，阶段性（当年）的绩效目标和指标；</w:t>
      </w:r>
      <w:r>
        <w:rPr>
          <w:rFonts w:hint="eastAsia" w:ascii="仿宋_GB2312" w:eastAsia="仿宋_GB2312"/>
          <w:sz w:val="32"/>
          <w:szCs w:val="32"/>
          <w:lang w:eastAsia="zh-CN"/>
        </w:rPr>
        <w:t>全年顺利完成食堂的管理工作，得到领导和职工的一致好评。</w:t>
      </w:r>
    </w:p>
    <w:p>
      <w:pPr>
        <w:keepNext w:val="0"/>
        <w:keepLines w:val="0"/>
        <w:pageBreakBefore w:val="0"/>
        <w:widowControl w:val="0"/>
        <w:kinsoku/>
        <w:wordWrap/>
        <w:overflowPunct/>
        <w:topLinePunct w:val="0"/>
        <w:autoSpaceDE/>
        <w:autoSpaceDN/>
        <w:bidi w:val="0"/>
        <w:adjustRightInd w:val="0"/>
        <w:snapToGrid w:val="0"/>
        <w:spacing w:line="560" w:lineRule="exact"/>
        <w:ind w:leftChars="0" w:firstLine="643" w:firstLineChars="200"/>
        <w:textAlignment w:val="auto"/>
        <w:rPr>
          <w:rFonts w:hint="eastAsia" w:ascii="仿宋_GB2312" w:eastAsia="仿宋_GB2312"/>
          <w:sz w:val="32"/>
          <w:szCs w:val="32"/>
          <w:lang w:val="en-US" w:eastAsia="zh-CN"/>
        </w:rPr>
      </w:pPr>
      <w:r>
        <w:rPr>
          <w:rFonts w:hint="eastAsia" w:ascii="宋体" w:hAnsi="宋体"/>
          <w:b/>
          <w:sz w:val="32"/>
          <w:szCs w:val="32"/>
        </w:rPr>
        <w:t>二、自评工作情况</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firstLine="640" w:firstLineChars="200"/>
        <w:jc w:val="both"/>
        <w:textAlignment w:val="auto"/>
        <w:rPr>
          <w:rFonts w:hint="eastAsia" w:ascii="楷体_GB2312" w:hAnsi="楷体_GB2312" w:eastAsia="楷体_GB2312" w:cs="楷体_GB2312"/>
          <w:sz w:val="32"/>
          <w:szCs w:val="32"/>
        </w:rPr>
      </w:pPr>
      <w:r>
        <w:rPr>
          <w:rFonts w:hint="eastAsia" w:ascii="楷体_GB2312" w:hAnsi="楷体_GB2312" w:eastAsia="楷体_GB2312" w:cs="楷体_GB2312"/>
          <w:sz w:val="32"/>
          <w:szCs w:val="32"/>
          <w:lang w:eastAsia="zh-CN"/>
        </w:rPr>
        <w:t>（</w:t>
      </w:r>
      <w:r>
        <w:rPr>
          <w:rFonts w:hint="eastAsia" w:ascii="楷体_GB2312" w:hAnsi="楷体_GB2312" w:eastAsia="楷体_GB2312" w:cs="楷体_GB2312"/>
          <w:sz w:val="32"/>
          <w:szCs w:val="32"/>
          <w:lang w:val="en-US" w:eastAsia="zh-CN"/>
        </w:rPr>
        <w:t>一</w:t>
      </w:r>
      <w:r>
        <w:rPr>
          <w:rFonts w:hint="eastAsia" w:ascii="楷体_GB2312" w:hAnsi="楷体_GB2312" w:eastAsia="楷体_GB2312" w:cs="楷体_GB2312"/>
          <w:sz w:val="32"/>
          <w:szCs w:val="32"/>
          <w:lang w:eastAsia="zh-CN"/>
        </w:rPr>
        <w:t>）</w:t>
      </w:r>
      <w:r>
        <w:rPr>
          <w:rFonts w:hint="eastAsia" w:ascii="楷体_GB2312" w:hAnsi="楷体_GB2312" w:eastAsia="楷体_GB2312" w:cs="楷体_GB2312"/>
          <w:sz w:val="32"/>
          <w:szCs w:val="32"/>
        </w:rPr>
        <w:t>自评的组织工作</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firstLine="640" w:firstLineChars="200"/>
        <w:jc w:val="both"/>
        <w:textAlignment w:val="auto"/>
        <w:rPr>
          <w:rFonts w:hint="eastAsia" w:ascii="仿宋_GB2312" w:eastAsia="仿宋_GB2312"/>
          <w:sz w:val="32"/>
          <w:szCs w:val="32"/>
          <w:lang w:val="en-US" w:eastAsia="zh-CN"/>
        </w:rPr>
      </w:pPr>
      <w:r>
        <w:rPr>
          <w:rFonts w:hint="eastAsia" w:ascii="仿宋_GB2312" w:eastAsia="仿宋_GB2312"/>
          <w:sz w:val="32"/>
          <w:szCs w:val="32"/>
          <w:lang w:val="en-US" w:eastAsia="zh-CN"/>
        </w:rPr>
        <w:t>成立绩效评价小组，对2019年度政府食堂经费项目财政支出的经济性、效率性及效益性进行重点评价，并针对评价内容做出分析及合理化建议。</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firstLine="640" w:firstLineChars="200"/>
        <w:jc w:val="both"/>
        <w:textAlignment w:val="auto"/>
        <w:rPr>
          <w:rFonts w:hint="eastAsia" w:ascii="楷体_GB2312" w:hAnsi="楷体_GB2312" w:eastAsia="楷体_GB2312" w:cs="楷体_GB2312"/>
          <w:sz w:val="32"/>
          <w:szCs w:val="32"/>
        </w:rPr>
      </w:pPr>
      <w:r>
        <w:rPr>
          <w:rFonts w:hint="eastAsia" w:ascii="楷体_GB2312" w:hAnsi="楷体_GB2312" w:eastAsia="楷体_GB2312" w:cs="楷体_GB2312"/>
          <w:sz w:val="32"/>
          <w:szCs w:val="32"/>
          <w:lang w:eastAsia="zh-CN"/>
        </w:rPr>
        <w:t>（</w:t>
      </w:r>
      <w:r>
        <w:rPr>
          <w:rFonts w:hint="eastAsia" w:ascii="楷体_GB2312" w:hAnsi="楷体_GB2312" w:eastAsia="楷体_GB2312" w:cs="楷体_GB2312"/>
          <w:sz w:val="32"/>
          <w:szCs w:val="32"/>
          <w:lang w:val="en-US" w:eastAsia="zh-CN"/>
        </w:rPr>
        <w:t>二</w:t>
      </w:r>
      <w:r>
        <w:rPr>
          <w:rFonts w:hint="eastAsia" w:ascii="楷体_GB2312" w:hAnsi="楷体_GB2312" w:eastAsia="楷体_GB2312" w:cs="楷体_GB2312"/>
          <w:sz w:val="32"/>
          <w:szCs w:val="32"/>
          <w:lang w:eastAsia="zh-CN"/>
        </w:rPr>
        <w:t>）</w:t>
      </w:r>
      <w:r>
        <w:rPr>
          <w:rFonts w:hint="eastAsia" w:ascii="楷体_GB2312" w:hAnsi="楷体_GB2312" w:eastAsia="楷体_GB2312" w:cs="楷体_GB2312"/>
          <w:sz w:val="32"/>
          <w:szCs w:val="32"/>
        </w:rPr>
        <w:t>自评的方法和过程</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firstLine="640" w:firstLineChars="200"/>
        <w:jc w:val="both"/>
        <w:textAlignment w:val="auto"/>
        <w:rPr>
          <w:rFonts w:hint="eastAsia" w:ascii="仿宋_GB2312" w:eastAsia="仿宋_GB2312"/>
          <w:sz w:val="32"/>
          <w:szCs w:val="32"/>
          <w:lang w:val="en-US" w:eastAsia="zh-CN"/>
        </w:rPr>
      </w:pPr>
      <w:r>
        <w:rPr>
          <w:rFonts w:hint="eastAsia" w:ascii="仿宋_GB2312" w:eastAsia="仿宋_GB2312"/>
          <w:sz w:val="32"/>
          <w:szCs w:val="32"/>
          <w:lang w:val="en-US" w:eastAsia="zh-CN"/>
        </w:rPr>
        <w:t>主要通过主要负责人和主管科室对政府食堂经费的使用情况开展绩效评价。</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firstLine="640" w:firstLineChars="200"/>
        <w:jc w:val="both"/>
        <w:textAlignment w:val="auto"/>
        <w:rPr>
          <w:rFonts w:hint="eastAsia" w:ascii="楷体_GB2312" w:hAnsi="楷体_GB2312" w:eastAsia="楷体_GB2312" w:cs="楷体_GB2312"/>
          <w:sz w:val="32"/>
          <w:szCs w:val="32"/>
        </w:rPr>
      </w:pPr>
      <w:r>
        <w:rPr>
          <w:rFonts w:hint="eastAsia" w:ascii="楷体_GB2312" w:hAnsi="楷体_GB2312" w:eastAsia="楷体_GB2312" w:cs="楷体_GB2312"/>
          <w:sz w:val="32"/>
          <w:szCs w:val="32"/>
          <w:lang w:eastAsia="zh-CN"/>
        </w:rPr>
        <w:t>（</w:t>
      </w:r>
      <w:r>
        <w:rPr>
          <w:rFonts w:hint="eastAsia" w:ascii="楷体_GB2312" w:hAnsi="楷体_GB2312" w:eastAsia="楷体_GB2312" w:cs="楷体_GB2312"/>
          <w:sz w:val="32"/>
          <w:szCs w:val="32"/>
          <w:lang w:val="en-US" w:eastAsia="zh-CN"/>
        </w:rPr>
        <w:t>三</w:t>
      </w:r>
      <w:r>
        <w:rPr>
          <w:rFonts w:hint="eastAsia" w:ascii="楷体_GB2312" w:hAnsi="楷体_GB2312" w:eastAsia="楷体_GB2312" w:cs="楷体_GB2312"/>
          <w:sz w:val="32"/>
          <w:szCs w:val="32"/>
          <w:lang w:eastAsia="zh-CN"/>
        </w:rPr>
        <w:t>）</w:t>
      </w:r>
      <w:r>
        <w:rPr>
          <w:rFonts w:hint="eastAsia" w:ascii="楷体_GB2312" w:hAnsi="楷体_GB2312" w:eastAsia="楷体_GB2312" w:cs="楷体_GB2312"/>
          <w:sz w:val="32"/>
          <w:szCs w:val="32"/>
        </w:rPr>
        <w:t>建立绩效评价指标体系</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firstLine="640" w:firstLineChars="200"/>
        <w:jc w:val="both"/>
        <w:textAlignment w:val="auto"/>
        <w:rPr>
          <w:rFonts w:hint="default" w:ascii="仿宋_GB2312" w:eastAsia="仿宋_GB2312"/>
          <w:sz w:val="32"/>
          <w:szCs w:val="32"/>
          <w:lang w:val="en-US" w:eastAsia="zh-CN"/>
        </w:rPr>
      </w:pPr>
      <w:r>
        <w:rPr>
          <w:rFonts w:hint="eastAsia" w:ascii="仿宋_GB2312" w:eastAsia="仿宋_GB2312"/>
          <w:sz w:val="32"/>
          <w:szCs w:val="32"/>
          <w:lang w:val="en-US" w:eastAsia="zh-CN"/>
        </w:rPr>
        <w:t>在开展预算自评工作时，结合机关事务服务中心工作实际，设计能够体现项目特点绩效评价指标体系。绩效指标权重根据本项目实际情况确定，总分设定为100分。产出指标40分，其中其中提高质量和服务水平的完成率占40分；预算执行率指标10分，包括预算资金使用到位100% 10分；效益指标40分，包括工作管理标准化、规范化程度40分；满意度指标10分，包括使用人员满意度10分。</w:t>
      </w:r>
    </w:p>
    <w:p>
      <w:pPr>
        <w:keepNext w:val="0"/>
        <w:keepLines w:val="0"/>
        <w:pageBreakBefore w:val="0"/>
        <w:widowControl w:val="0"/>
        <w:kinsoku/>
        <w:wordWrap/>
        <w:overflowPunct/>
        <w:topLinePunct w:val="0"/>
        <w:autoSpaceDE/>
        <w:autoSpaceDN/>
        <w:bidi w:val="0"/>
        <w:adjustRightInd w:val="0"/>
        <w:snapToGrid w:val="0"/>
        <w:spacing w:line="560" w:lineRule="exact"/>
        <w:ind w:leftChars="0" w:firstLine="640" w:firstLineChars="200"/>
        <w:textAlignment w:val="auto"/>
        <w:rPr>
          <w:rFonts w:hint="eastAsia" w:ascii="黑体" w:hAnsi="黑体" w:eastAsia="黑体" w:cs="黑体"/>
          <w:b w:val="0"/>
          <w:bCs/>
          <w:sz w:val="32"/>
          <w:szCs w:val="32"/>
        </w:rPr>
      </w:pPr>
      <w:r>
        <w:rPr>
          <w:rFonts w:hint="eastAsia" w:ascii="黑体" w:hAnsi="黑体" w:eastAsia="黑体" w:cs="黑体"/>
          <w:b w:val="0"/>
          <w:bCs/>
          <w:sz w:val="32"/>
          <w:szCs w:val="32"/>
        </w:rPr>
        <w:t>三、项目执行及绩效实现情况</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firstLine="640" w:firstLineChars="200"/>
        <w:jc w:val="both"/>
        <w:textAlignment w:val="auto"/>
        <w:rPr>
          <w:rFonts w:hint="eastAsia" w:ascii="楷体_GB2312" w:hAnsi="楷体_GB2312" w:eastAsia="楷体_GB2312" w:cs="楷体_GB2312"/>
          <w:sz w:val="32"/>
          <w:szCs w:val="32"/>
        </w:rPr>
      </w:pPr>
      <w:r>
        <w:rPr>
          <w:rFonts w:hint="eastAsia" w:ascii="楷体_GB2312" w:hAnsi="楷体_GB2312" w:eastAsia="楷体_GB2312" w:cs="楷体_GB2312"/>
          <w:sz w:val="32"/>
          <w:szCs w:val="32"/>
        </w:rPr>
        <w:t>（一）项目投入</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firstLine="640" w:firstLineChars="200"/>
        <w:jc w:val="both"/>
        <w:textAlignment w:val="auto"/>
        <w:rPr>
          <w:rFonts w:hint="default" w:ascii="仿宋_GB2312" w:eastAsia="仿宋_GB2312"/>
          <w:sz w:val="32"/>
          <w:szCs w:val="32"/>
          <w:lang w:val="en-US" w:eastAsia="zh-CN"/>
        </w:rPr>
      </w:pPr>
      <w:r>
        <w:rPr>
          <w:rFonts w:hint="eastAsia" w:ascii="仿宋_GB2312" w:eastAsia="仿宋_GB2312"/>
          <w:sz w:val="32"/>
          <w:szCs w:val="32"/>
          <w:lang w:val="en-US" w:eastAsia="zh-CN"/>
        </w:rPr>
        <w:t>1.资金落实情况分析。严格按照预算项目绩效目标要求，按时间节点落实资金，保证资金到位率和到位及时率达到100%，分值10分。</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firstLine="640" w:firstLineChars="200"/>
        <w:jc w:val="both"/>
        <w:textAlignment w:val="auto"/>
        <w:rPr>
          <w:rFonts w:hint="eastAsia" w:ascii="楷体_GB2312" w:hAnsi="楷体_GB2312" w:eastAsia="楷体_GB2312" w:cs="楷体_GB2312"/>
          <w:sz w:val="32"/>
          <w:szCs w:val="32"/>
        </w:rPr>
      </w:pPr>
      <w:r>
        <w:rPr>
          <w:rFonts w:hint="eastAsia" w:ascii="楷体_GB2312" w:hAnsi="楷体_GB2312" w:eastAsia="楷体_GB2312" w:cs="楷体_GB2312"/>
          <w:sz w:val="32"/>
          <w:szCs w:val="32"/>
        </w:rPr>
        <w:t>（二）项目实施过程</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firstLine="640" w:firstLineChars="200"/>
        <w:jc w:val="both"/>
        <w:textAlignment w:val="auto"/>
        <w:rPr>
          <w:rFonts w:hint="default" w:ascii="仿宋_GB2312" w:eastAsia="仿宋_GB2312"/>
          <w:sz w:val="32"/>
          <w:szCs w:val="32"/>
          <w:lang w:val="en-US" w:eastAsia="zh-CN"/>
        </w:rPr>
      </w:pPr>
      <w:r>
        <w:rPr>
          <w:rFonts w:hint="eastAsia" w:ascii="仿宋_GB2312" w:eastAsia="仿宋_GB2312"/>
          <w:sz w:val="32"/>
          <w:szCs w:val="32"/>
          <w:lang w:val="en-US" w:eastAsia="zh-CN"/>
        </w:rPr>
        <w:t>1.业务管理情况分析。我单位组织相关人员对项目实施过程全程管理，有效保证了管理制度健全性、制度执行有效性和项目质量可控性，分值5分。</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firstLine="640" w:firstLineChars="200"/>
        <w:jc w:val="both"/>
        <w:textAlignment w:val="auto"/>
        <w:rPr>
          <w:rFonts w:hint="default" w:ascii="仿宋_GB2312" w:eastAsia="仿宋_GB2312"/>
          <w:sz w:val="32"/>
          <w:szCs w:val="32"/>
          <w:lang w:val="en-US" w:eastAsia="zh-CN"/>
        </w:rPr>
      </w:pPr>
      <w:r>
        <w:rPr>
          <w:rFonts w:hint="eastAsia" w:ascii="仿宋_GB2312" w:eastAsia="仿宋_GB2312"/>
          <w:sz w:val="32"/>
          <w:szCs w:val="32"/>
          <w:lang w:val="en-US" w:eastAsia="zh-CN"/>
        </w:rPr>
        <w:t>2.财务管理。在项目实施过程中，严格遵守财务制度及财务规范。相关资金使用账目清晰、资金票据及相关附件齐全，资金使用合规、可控，分值5分。</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firstLine="640" w:firstLineChars="200"/>
        <w:jc w:val="both"/>
        <w:textAlignment w:val="auto"/>
        <w:rPr>
          <w:rFonts w:hint="eastAsia" w:ascii="楷体_GB2312" w:hAnsi="楷体_GB2312" w:eastAsia="楷体_GB2312" w:cs="楷体_GB2312"/>
          <w:sz w:val="32"/>
          <w:szCs w:val="32"/>
        </w:rPr>
      </w:pPr>
      <w:r>
        <w:rPr>
          <w:rFonts w:hint="eastAsia" w:ascii="楷体_GB2312" w:hAnsi="楷体_GB2312" w:eastAsia="楷体_GB2312" w:cs="楷体_GB2312"/>
          <w:sz w:val="32"/>
          <w:szCs w:val="32"/>
        </w:rPr>
        <w:t>（三）项目产出</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firstLine="640" w:firstLineChars="200"/>
        <w:jc w:val="both"/>
        <w:textAlignment w:val="auto"/>
        <w:rPr>
          <w:rFonts w:hint="default" w:ascii="仿宋_GB2312" w:eastAsia="仿宋_GB2312"/>
          <w:sz w:val="32"/>
          <w:szCs w:val="32"/>
          <w:lang w:val="en-US" w:eastAsia="zh-CN"/>
        </w:rPr>
      </w:pPr>
      <w:r>
        <w:rPr>
          <w:rFonts w:hint="eastAsia" w:ascii="仿宋_GB2312" w:eastAsia="仿宋_GB2312"/>
          <w:sz w:val="32"/>
          <w:szCs w:val="32"/>
          <w:lang w:val="en-US" w:eastAsia="zh-CN"/>
        </w:rPr>
        <w:t>通过实地勘察和会计核对，</w:t>
      </w:r>
      <w:bookmarkStart w:id="0" w:name="_GoBack"/>
      <w:bookmarkEnd w:id="0"/>
      <w:r>
        <w:rPr>
          <w:rFonts w:hint="eastAsia" w:ascii="仿宋_GB2312" w:eastAsia="仿宋_GB2312"/>
          <w:sz w:val="32"/>
          <w:szCs w:val="32"/>
          <w:lang w:val="en-US" w:eastAsia="zh-CN"/>
        </w:rPr>
        <w:t>项目的实际完成率、完成及时率、质量达标率、成本节约率均达到95%以上，分值40分。</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firstLine="640" w:firstLineChars="200"/>
        <w:jc w:val="both"/>
        <w:textAlignment w:val="auto"/>
        <w:rPr>
          <w:rFonts w:hint="eastAsia" w:ascii="楷体_GB2312" w:hAnsi="楷体_GB2312" w:eastAsia="楷体_GB2312" w:cs="楷体_GB2312"/>
          <w:sz w:val="32"/>
          <w:szCs w:val="32"/>
        </w:rPr>
      </w:pPr>
      <w:r>
        <w:rPr>
          <w:rFonts w:hint="eastAsia" w:ascii="楷体_GB2312" w:hAnsi="楷体_GB2312" w:eastAsia="楷体_GB2312" w:cs="楷体_GB2312"/>
          <w:sz w:val="32"/>
          <w:szCs w:val="32"/>
        </w:rPr>
        <w:t>（四）项目效果</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firstLine="640" w:firstLineChars="200"/>
        <w:jc w:val="both"/>
        <w:textAlignment w:val="auto"/>
        <w:rPr>
          <w:rFonts w:hint="default" w:ascii="仿宋_GB2312" w:eastAsia="仿宋_GB2312"/>
          <w:sz w:val="32"/>
          <w:szCs w:val="32"/>
          <w:lang w:val="en-US" w:eastAsia="zh-CN"/>
        </w:rPr>
      </w:pPr>
      <w:r>
        <w:rPr>
          <w:rFonts w:hint="eastAsia" w:ascii="仿宋_GB2312" w:eastAsia="仿宋_GB2312"/>
          <w:sz w:val="32"/>
          <w:szCs w:val="32"/>
          <w:lang w:val="en-US" w:eastAsia="zh-CN"/>
        </w:rPr>
        <w:t>政府食堂经费项目的可持续影响和服务对象满意度均达到95%以上，分值38分。</w:t>
      </w:r>
    </w:p>
    <w:p>
      <w:pPr>
        <w:keepNext w:val="0"/>
        <w:keepLines w:val="0"/>
        <w:pageBreakBefore w:val="0"/>
        <w:widowControl w:val="0"/>
        <w:kinsoku/>
        <w:wordWrap/>
        <w:overflowPunct/>
        <w:topLinePunct w:val="0"/>
        <w:autoSpaceDE/>
        <w:autoSpaceDN/>
        <w:bidi w:val="0"/>
        <w:adjustRightInd w:val="0"/>
        <w:snapToGrid w:val="0"/>
        <w:spacing w:line="560" w:lineRule="exact"/>
        <w:ind w:leftChars="0" w:firstLine="643" w:firstLineChars="200"/>
        <w:textAlignment w:val="auto"/>
        <w:rPr>
          <w:rFonts w:ascii="宋体" w:hAnsi="宋体"/>
          <w:b/>
          <w:sz w:val="32"/>
          <w:szCs w:val="32"/>
        </w:rPr>
      </w:pPr>
      <w:r>
        <w:rPr>
          <w:rFonts w:hint="eastAsia" w:ascii="宋体" w:hAnsi="宋体"/>
          <w:b/>
          <w:sz w:val="32"/>
          <w:szCs w:val="32"/>
        </w:rPr>
        <w:t>四、</w:t>
      </w:r>
      <w:r>
        <w:rPr>
          <w:rFonts w:hint="eastAsia" w:ascii="黑体" w:hAnsi="黑体" w:eastAsia="黑体" w:cs="黑体"/>
          <w:b w:val="0"/>
          <w:bCs/>
          <w:sz w:val="32"/>
          <w:szCs w:val="32"/>
        </w:rPr>
        <w:t>项目综合评价结论和评价等级</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firstLine="640" w:firstLineChars="200"/>
        <w:jc w:val="both"/>
        <w:textAlignment w:val="auto"/>
        <w:rPr>
          <w:rFonts w:hint="eastAsia" w:ascii="仿宋_GB2312" w:eastAsia="仿宋_GB2312"/>
          <w:sz w:val="32"/>
          <w:szCs w:val="32"/>
          <w:lang w:val="en-US" w:eastAsia="zh-CN"/>
        </w:rPr>
      </w:pPr>
      <w:r>
        <w:rPr>
          <w:rFonts w:hint="eastAsia" w:ascii="仿宋_GB2312" w:eastAsia="仿宋_GB2312"/>
          <w:sz w:val="32"/>
          <w:szCs w:val="32"/>
          <w:lang w:val="en-US" w:eastAsia="zh-CN"/>
        </w:rPr>
        <w:t>根据项目执行情况和项目绩效情况，政府食堂经费项目绩效评价得分为98分，评价等级为优秀。</w:t>
      </w:r>
    </w:p>
    <w:p>
      <w:pPr>
        <w:keepNext w:val="0"/>
        <w:keepLines w:val="0"/>
        <w:pageBreakBefore w:val="0"/>
        <w:widowControl w:val="0"/>
        <w:numPr>
          <w:ilvl w:val="0"/>
          <w:numId w:val="1"/>
        </w:numPr>
        <w:kinsoku/>
        <w:wordWrap/>
        <w:overflowPunct/>
        <w:topLinePunct w:val="0"/>
        <w:autoSpaceDE/>
        <w:autoSpaceDN/>
        <w:bidi w:val="0"/>
        <w:adjustRightInd w:val="0"/>
        <w:snapToGrid w:val="0"/>
        <w:spacing w:line="560" w:lineRule="exact"/>
        <w:ind w:leftChars="0" w:firstLine="640" w:firstLineChars="200"/>
        <w:textAlignment w:val="auto"/>
        <w:rPr>
          <w:rFonts w:hint="eastAsia" w:ascii="黑体" w:hAnsi="黑体" w:eastAsia="黑体" w:cs="黑体"/>
          <w:b w:val="0"/>
          <w:bCs/>
          <w:sz w:val="32"/>
          <w:szCs w:val="32"/>
        </w:rPr>
      </w:pPr>
      <w:r>
        <w:rPr>
          <w:rFonts w:hint="eastAsia" w:ascii="黑体" w:hAnsi="黑体" w:eastAsia="黑体" w:cs="黑体"/>
          <w:b w:val="0"/>
          <w:bCs/>
          <w:sz w:val="32"/>
          <w:szCs w:val="32"/>
        </w:rPr>
        <w:t>存在的问题及改进措施</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firstLine="640" w:firstLineChars="200"/>
        <w:jc w:val="both"/>
        <w:textAlignment w:val="auto"/>
        <w:rPr>
          <w:rFonts w:hint="eastAsia" w:ascii="楷体_GB2312" w:hAnsi="楷体_GB2312" w:eastAsia="楷体_GB2312" w:cs="楷体_GB2312"/>
          <w:sz w:val="32"/>
          <w:szCs w:val="32"/>
        </w:rPr>
      </w:pPr>
      <w:r>
        <w:rPr>
          <w:rFonts w:hint="eastAsia" w:ascii="楷体_GB2312" w:hAnsi="楷体_GB2312" w:eastAsia="楷体_GB2312" w:cs="楷体_GB2312"/>
          <w:sz w:val="32"/>
          <w:szCs w:val="32"/>
          <w:lang w:eastAsia="zh-CN"/>
        </w:rPr>
        <w:t>（</w:t>
      </w:r>
      <w:r>
        <w:rPr>
          <w:rFonts w:hint="eastAsia" w:ascii="楷体_GB2312" w:hAnsi="楷体_GB2312" w:eastAsia="楷体_GB2312" w:cs="楷体_GB2312"/>
          <w:sz w:val="32"/>
          <w:szCs w:val="32"/>
          <w:lang w:val="en-US" w:eastAsia="zh-CN"/>
        </w:rPr>
        <w:t>一</w:t>
      </w:r>
      <w:r>
        <w:rPr>
          <w:rFonts w:hint="eastAsia" w:ascii="楷体_GB2312" w:hAnsi="楷体_GB2312" w:eastAsia="楷体_GB2312" w:cs="楷体_GB2312"/>
          <w:sz w:val="32"/>
          <w:szCs w:val="32"/>
          <w:lang w:eastAsia="zh-CN"/>
        </w:rPr>
        <w:t>）</w:t>
      </w:r>
      <w:r>
        <w:rPr>
          <w:rFonts w:hint="eastAsia" w:ascii="楷体_GB2312" w:hAnsi="楷体_GB2312" w:eastAsia="楷体_GB2312" w:cs="楷体_GB2312"/>
          <w:sz w:val="32"/>
          <w:szCs w:val="32"/>
        </w:rPr>
        <w:t>项目存在的主要问题</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firstLine="640" w:firstLineChars="200"/>
        <w:jc w:val="both"/>
        <w:textAlignment w:val="auto"/>
        <w:rPr>
          <w:rFonts w:hint="eastAsia" w:ascii="仿宋_GB2312" w:eastAsia="仿宋_GB2312"/>
          <w:sz w:val="32"/>
          <w:szCs w:val="32"/>
          <w:lang w:val="en-US" w:eastAsia="zh-CN"/>
        </w:rPr>
      </w:pPr>
      <w:r>
        <w:rPr>
          <w:rFonts w:hint="eastAsia" w:ascii="仿宋_GB2312" w:eastAsia="仿宋_GB2312"/>
          <w:sz w:val="32"/>
          <w:szCs w:val="32"/>
          <w:lang w:val="en-US" w:eastAsia="zh-CN"/>
        </w:rPr>
        <w:t>食堂需提供足够菜量保障每位就餐员工日常饮食。</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firstLine="640" w:firstLineChars="200"/>
        <w:jc w:val="both"/>
        <w:textAlignment w:val="auto"/>
        <w:rPr>
          <w:rFonts w:hint="eastAsia" w:ascii="楷体_GB2312" w:hAnsi="楷体_GB2312" w:eastAsia="楷体_GB2312" w:cs="楷体_GB2312"/>
          <w:sz w:val="32"/>
          <w:szCs w:val="32"/>
        </w:rPr>
      </w:pPr>
      <w:r>
        <w:rPr>
          <w:rFonts w:hint="eastAsia" w:ascii="楷体_GB2312" w:hAnsi="楷体_GB2312" w:eastAsia="楷体_GB2312" w:cs="楷体_GB2312"/>
          <w:sz w:val="32"/>
          <w:szCs w:val="32"/>
          <w:lang w:eastAsia="zh-CN"/>
        </w:rPr>
        <w:t>（</w:t>
      </w:r>
      <w:r>
        <w:rPr>
          <w:rFonts w:hint="eastAsia" w:ascii="楷体_GB2312" w:hAnsi="楷体_GB2312" w:eastAsia="楷体_GB2312" w:cs="楷体_GB2312"/>
          <w:sz w:val="32"/>
          <w:szCs w:val="32"/>
          <w:lang w:val="en-US" w:eastAsia="zh-CN"/>
        </w:rPr>
        <w:t>二</w:t>
      </w:r>
      <w:r>
        <w:rPr>
          <w:rFonts w:hint="eastAsia" w:ascii="楷体_GB2312" w:hAnsi="楷体_GB2312" w:eastAsia="楷体_GB2312" w:cs="楷体_GB2312"/>
          <w:sz w:val="32"/>
          <w:szCs w:val="32"/>
          <w:lang w:eastAsia="zh-CN"/>
        </w:rPr>
        <w:t>）</w:t>
      </w:r>
      <w:r>
        <w:rPr>
          <w:rFonts w:hint="eastAsia" w:ascii="楷体_GB2312" w:hAnsi="楷体_GB2312" w:eastAsia="楷体_GB2312" w:cs="楷体_GB2312"/>
          <w:sz w:val="32"/>
          <w:szCs w:val="32"/>
        </w:rPr>
        <w:t>针对问题提出具体的改进措施或建议</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firstLine="640" w:firstLineChars="200"/>
        <w:jc w:val="both"/>
        <w:textAlignment w:val="auto"/>
        <w:rPr>
          <w:rFonts w:hint="eastAsia" w:ascii="仿宋_GB2312" w:eastAsia="仿宋_GB2312"/>
          <w:sz w:val="32"/>
          <w:szCs w:val="32"/>
          <w:lang w:val="en-US" w:eastAsia="zh-CN"/>
        </w:rPr>
      </w:pPr>
      <w:r>
        <w:rPr>
          <w:rFonts w:hint="eastAsia" w:ascii="仿宋_GB2312" w:eastAsia="仿宋_GB2312"/>
          <w:sz w:val="32"/>
          <w:szCs w:val="32"/>
          <w:lang w:val="en-US" w:eastAsia="zh-CN"/>
        </w:rPr>
        <w:t>今后我单2位要严格按照“预算编制有目标、预算执行有监控、预算完成有评价、评价结果有反馈、反馈结果有应用”的有关要求，进一步规范报加强内部管理，严控支出，更好的做好服务工作。</w:t>
      </w:r>
    </w:p>
    <w:p>
      <w:pPr>
        <w:keepNext w:val="0"/>
        <w:keepLines w:val="0"/>
        <w:pageBreakBefore w:val="0"/>
        <w:widowControl w:val="0"/>
        <w:numPr>
          <w:ilvl w:val="0"/>
          <w:numId w:val="1"/>
        </w:numPr>
        <w:kinsoku/>
        <w:wordWrap/>
        <w:overflowPunct/>
        <w:topLinePunct w:val="0"/>
        <w:autoSpaceDE/>
        <w:autoSpaceDN/>
        <w:bidi w:val="0"/>
        <w:adjustRightInd w:val="0"/>
        <w:spacing w:line="560" w:lineRule="exact"/>
        <w:ind w:left="0" w:leftChars="0" w:firstLine="640" w:firstLineChars="200"/>
        <w:textAlignment w:val="auto"/>
        <w:rPr>
          <w:rFonts w:hint="eastAsia" w:ascii="仿宋" w:hAnsi="仿宋" w:eastAsia="仿宋"/>
          <w:sz w:val="32"/>
          <w:szCs w:val="32"/>
        </w:rPr>
      </w:pPr>
      <w:r>
        <w:rPr>
          <w:rFonts w:hint="eastAsia" w:ascii="黑体" w:hAnsi="黑体" w:eastAsia="黑体" w:cs="黑体"/>
          <w:b w:val="0"/>
          <w:bCs/>
          <w:sz w:val="32"/>
          <w:szCs w:val="32"/>
        </w:rPr>
        <w:t>评价工作组人员名单及签字</w:t>
      </w:r>
      <w:r>
        <w:rPr>
          <w:rFonts w:hint="eastAsia" w:ascii="仿宋" w:hAnsi="仿宋" w:eastAsia="仿宋"/>
          <w:sz w:val="32"/>
          <w:szCs w:val="32"/>
        </w:rPr>
        <w:t>（姓名、工作单位、职务、职称）</w:t>
      </w:r>
    </w:p>
    <w:p>
      <w:pPr>
        <w:keepNext w:val="0"/>
        <w:keepLines w:val="0"/>
        <w:pageBreakBefore w:val="0"/>
        <w:widowControl w:val="0"/>
        <w:numPr>
          <w:ilvl w:val="0"/>
          <w:numId w:val="0"/>
        </w:numPr>
        <w:kinsoku/>
        <w:wordWrap/>
        <w:overflowPunct/>
        <w:topLinePunct w:val="0"/>
        <w:autoSpaceDE/>
        <w:autoSpaceDN/>
        <w:bidi w:val="0"/>
        <w:adjustRightInd w:val="0"/>
        <w:spacing w:line="560" w:lineRule="exact"/>
        <w:ind w:leftChars="200"/>
        <w:textAlignment w:val="auto"/>
        <w:rPr>
          <w:rFonts w:hint="eastAsia" w:ascii="仿宋" w:hAnsi="仿宋" w:eastAsia="仿宋"/>
          <w:sz w:val="32"/>
          <w:szCs w:val="32"/>
        </w:rPr>
      </w:pPr>
    </w:p>
    <w:tbl>
      <w:tblPr>
        <w:tblStyle w:val="5"/>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73"/>
        <w:gridCol w:w="1922"/>
        <w:gridCol w:w="2619"/>
        <w:gridCol w:w="1403"/>
        <w:gridCol w:w="170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5" w:hRule="atLeast"/>
        </w:trPr>
        <w:tc>
          <w:tcPr>
            <w:tcW w:w="873" w:type="dxa"/>
          </w:tcPr>
          <w:p>
            <w:pPr>
              <w:jc w:val="center"/>
              <w:rPr>
                <w:rFonts w:hint="eastAsia" w:ascii="仿宋_GB2312" w:hAnsi="仿宋_GB2312" w:eastAsia="仿宋_GB2312" w:cs="仿宋_GB2312"/>
                <w:sz w:val="32"/>
                <w:szCs w:val="32"/>
                <w:vertAlign w:val="baseline"/>
                <w:lang w:eastAsia="zh-CN"/>
              </w:rPr>
            </w:pPr>
            <w:r>
              <w:rPr>
                <w:rFonts w:hint="eastAsia" w:ascii="仿宋_GB2312" w:hAnsi="仿宋_GB2312" w:eastAsia="仿宋_GB2312" w:cs="仿宋_GB2312"/>
                <w:sz w:val="32"/>
                <w:szCs w:val="32"/>
                <w:vertAlign w:val="baseline"/>
                <w:lang w:eastAsia="zh-CN"/>
              </w:rPr>
              <w:t>序号</w:t>
            </w:r>
          </w:p>
        </w:tc>
        <w:tc>
          <w:tcPr>
            <w:tcW w:w="1922" w:type="dxa"/>
          </w:tcPr>
          <w:p>
            <w:pPr>
              <w:jc w:val="center"/>
              <w:rPr>
                <w:rFonts w:hint="eastAsia" w:ascii="仿宋_GB2312" w:hAnsi="仿宋_GB2312" w:eastAsia="仿宋_GB2312" w:cs="仿宋_GB2312"/>
                <w:sz w:val="32"/>
                <w:szCs w:val="32"/>
                <w:vertAlign w:val="baseline"/>
                <w:lang w:eastAsia="zh-CN"/>
              </w:rPr>
            </w:pPr>
            <w:r>
              <w:rPr>
                <w:rFonts w:hint="eastAsia" w:ascii="仿宋_GB2312" w:hAnsi="仿宋_GB2312" w:eastAsia="仿宋_GB2312" w:cs="仿宋_GB2312"/>
                <w:sz w:val="32"/>
                <w:szCs w:val="32"/>
                <w:vertAlign w:val="baseline"/>
                <w:lang w:eastAsia="zh-CN"/>
              </w:rPr>
              <w:t>姓名</w:t>
            </w:r>
          </w:p>
        </w:tc>
        <w:tc>
          <w:tcPr>
            <w:tcW w:w="2619" w:type="dxa"/>
          </w:tcPr>
          <w:p>
            <w:pPr>
              <w:jc w:val="center"/>
              <w:rPr>
                <w:rFonts w:hint="eastAsia" w:ascii="仿宋_GB2312" w:hAnsi="仿宋_GB2312" w:eastAsia="仿宋_GB2312" w:cs="仿宋_GB2312"/>
                <w:sz w:val="32"/>
                <w:szCs w:val="32"/>
                <w:vertAlign w:val="baseline"/>
                <w:lang w:eastAsia="zh-CN"/>
              </w:rPr>
            </w:pPr>
            <w:r>
              <w:rPr>
                <w:rFonts w:hint="eastAsia" w:ascii="仿宋_GB2312" w:hAnsi="仿宋_GB2312" w:eastAsia="仿宋_GB2312" w:cs="仿宋_GB2312"/>
                <w:sz w:val="32"/>
                <w:szCs w:val="32"/>
                <w:vertAlign w:val="baseline"/>
                <w:lang w:eastAsia="zh-CN"/>
              </w:rPr>
              <w:t>单位</w:t>
            </w:r>
          </w:p>
        </w:tc>
        <w:tc>
          <w:tcPr>
            <w:tcW w:w="1403" w:type="dxa"/>
          </w:tcPr>
          <w:p>
            <w:pPr>
              <w:jc w:val="center"/>
              <w:rPr>
                <w:rFonts w:hint="eastAsia" w:ascii="仿宋_GB2312" w:hAnsi="仿宋_GB2312" w:eastAsia="仿宋_GB2312" w:cs="仿宋_GB2312"/>
                <w:sz w:val="32"/>
                <w:szCs w:val="32"/>
                <w:vertAlign w:val="baseline"/>
                <w:lang w:eastAsia="zh-CN"/>
              </w:rPr>
            </w:pPr>
            <w:r>
              <w:rPr>
                <w:rFonts w:hint="eastAsia" w:ascii="仿宋_GB2312" w:hAnsi="仿宋_GB2312" w:eastAsia="仿宋_GB2312" w:cs="仿宋_GB2312"/>
                <w:sz w:val="32"/>
                <w:szCs w:val="32"/>
                <w:vertAlign w:val="baseline"/>
                <w:lang w:eastAsia="zh-CN"/>
              </w:rPr>
              <w:t>职务</w:t>
            </w:r>
          </w:p>
        </w:tc>
        <w:tc>
          <w:tcPr>
            <w:tcW w:w="1705" w:type="dxa"/>
          </w:tcPr>
          <w:p>
            <w:pPr>
              <w:jc w:val="center"/>
              <w:rPr>
                <w:rFonts w:hint="eastAsia" w:ascii="仿宋_GB2312" w:hAnsi="仿宋_GB2312" w:eastAsia="仿宋_GB2312" w:cs="仿宋_GB2312"/>
                <w:sz w:val="32"/>
                <w:szCs w:val="32"/>
                <w:vertAlign w:val="baseline"/>
                <w:lang w:eastAsia="zh-CN"/>
              </w:rPr>
            </w:pPr>
            <w:r>
              <w:rPr>
                <w:rFonts w:hint="eastAsia" w:ascii="仿宋_GB2312" w:hAnsi="仿宋_GB2312" w:eastAsia="仿宋_GB2312" w:cs="仿宋_GB2312"/>
                <w:sz w:val="32"/>
                <w:szCs w:val="32"/>
                <w:vertAlign w:val="baseline"/>
                <w:lang w:eastAsia="zh-CN"/>
              </w:rPr>
              <w:t>签字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5" w:hRule="atLeast"/>
        </w:trPr>
        <w:tc>
          <w:tcPr>
            <w:tcW w:w="873" w:type="dxa"/>
          </w:tcPr>
          <w:p>
            <w:pPr>
              <w:jc w:val="center"/>
              <w:rPr>
                <w:rFonts w:hint="eastAsia"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val="en-US" w:eastAsia="zh-CN"/>
              </w:rPr>
              <w:t>1</w:t>
            </w:r>
          </w:p>
        </w:tc>
        <w:tc>
          <w:tcPr>
            <w:tcW w:w="1922" w:type="dxa"/>
          </w:tcPr>
          <w:p>
            <w:pPr>
              <w:jc w:val="center"/>
              <w:rPr>
                <w:rFonts w:hint="eastAsia" w:ascii="仿宋_GB2312" w:hAnsi="仿宋_GB2312" w:eastAsia="仿宋_GB2312" w:cs="仿宋_GB2312"/>
                <w:sz w:val="21"/>
                <w:szCs w:val="21"/>
                <w:vertAlign w:val="baseline"/>
                <w:lang w:eastAsia="zh-CN"/>
              </w:rPr>
            </w:pPr>
            <w:r>
              <w:rPr>
                <w:rFonts w:hint="eastAsia" w:ascii="仿宋_GB2312" w:hAnsi="仿宋_GB2312" w:eastAsia="仿宋_GB2312" w:cs="仿宋_GB2312"/>
                <w:sz w:val="21"/>
                <w:szCs w:val="21"/>
                <w:vertAlign w:val="baseline"/>
                <w:lang w:eastAsia="zh-CN"/>
              </w:rPr>
              <w:t>王建敏</w:t>
            </w:r>
          </w:p>
        </w:tc>
        <w:tc>
          <w:tcPr>
            <w:tcW w:w="2619" w:type="dxa"/>
          </w:tcPr>
          <w:p>
            <w:pPr>
              <w:jc w:val="center"/>
              <w:rPr>
                <w:rFonts w:hint="eastAsia" w:ascii="仿宋_GB2312" w:hAnsi="仿宋_GB2312" w:eastAsia="仿宋_GB2312" w:cs="仿宋_GB2312"/>
                <w:sz w:val="21"/>
                <w:szCs w:val="21"/>
                <w:vertAlign w:val="baseline"/>
                <w:lang w:eastAsia="zh-CN"/>
              </w:rPr>
            </w:pPr>
            <w:r>
              <w:rPr>
                <w:rFonts w:hint="eastAsia" w:ascii="仿宋_GB2312" w:hAnsi="仿宋_GB2312" w:eastAsia="仿宋_GB2312" w:cs="仿宋_GB2312"/>
                <w:sz w:val="21"/>
                <w:szCs w:val="21"/>
                <w:vertAlign w:val="baseline"/>
                <w:lang w:eastAsia="zh-CN"/>
              </w:rPr>
              <w:t>机关事务服务中心</w:t>
            </w:r>
          </w:p>
        </w:tc>
        <w:tc>
          <w:tcPr>
            <w:tcW w:w="1403" w:type="dxa"/>
          </w:tcPr>
          <w:p>
            <w:pPr>
              <w:jc w:val="center"/>
              <w:rPr>
                <w:rFonts w:hint="eastAsia" w:ascii="仿宋_GB2312" w:hAnsi="仿宋_GB2312" w:eastAsia="仿宋_GB2312" w:cs="仿宋_GB2312"/>
                <w:sz w:val="21"/>
                <w:szCs w:val="21"/>
                <w:vertAlign w:val="baseline"/>
                <w:lang w:eastAsia="zh-CN"/>
              </w:rPr>
            </w:pPr>
            <w:r>
              <w:rPr>
                <w:rFonts w:hint="eastAsia" w:ascii="仿宋_GB2312" w:hAnsi="仿宋_GB2312" w:eastAsia="仿宋_GB2312" w:cs="仿宋_GB2312"/>
                <w:sz w:val="21"/>
                <w:szCs w:val="21"/>
                <w:vertAlign w:val="baseline"/>
                <w:lang w:eastAsia="zh-CN"/>
              </w:rPr>
              <w:t>主任</w:t>
            </w:r>
          </w:p>
        </w:tc>
        <w:tc>
          <w:tcPr>
            <w:tcW w:w="1705" w:type="dxa"/>
          </w:tcPr>
          <w:p>
            <w:pPr>
              <w:jc w:val="center"/>
              <w:rPr>
                <w:rFonts w:hint="eastAsia" w:ascii="仿宋_GB2312" w:hAnsi="仿宋_GB2312" w:eastAsia="仿宋_GB2312" w:cs="仿宋_GB2312"/>
                <w:sz w:val="21"/>
                <w:szCs w:val="21"/>
                <w:vertAlign w:val="baseli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5" w:hRule="atLeast"/>
        </w:trPr>
        <w:tc>
          <w:tcPr>
            <w:tcW w:w="873" w:type="dxa"/>
          </w:tcPr>
          <w:p>
            <w:pPr>
              <w:jc w:val="center"/>
              <w:rPr>
                <w:rFonts w:hint="eastAsia"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val="en-US" w:eastAsia="zh-CN"/>
              </w:rPr>
              <w:t>2</w:t>
            </w:r>
          </w:p>
        </w:tc>
        <w:tc>
          <w:tcPr>
            <w:tcW w:w="1922" w:type="dxa"/>
          </w:tcPr>
          <w:p>
            <w:pPr>
              <w:jc w:val="center"/>
              <w:rPr>
                <w:rFonts w:hint="eastAsia" w:ascii="仿宋_GB2312" w:hAnsi="仿宋_GB2312" w:eastAsia="仿宋_GB2312" w:cs="仿宋_GB2312"/>
                <w:sz w:val="21"/>
                <w:szCs w:val="21"/>
                <w:vertAlign w:val="baseline"/>
                <w:lang w:eastAsia="zh-CN"/>
              </w:rPr>
            </w:pPr>
            <w:r>
              <w:rPr>
                <w:rFonts w:hint="eastAsia" w:ascii="仿宋_GB2312" w:hAnsi="仿宋_GB2312" w:eastAsia="仿宋_GB2312" w:cs="仿宋_GB2312"/>
                <w:sz w:val="21"/>
                <w:szCs w:val="21"/>
                <w:vertAlign w:val="baseline"/>
                <w:lang w:eastAsia="zh-CN"/>
              </w:rPr>
              <w:t>李凯涛</w:t>
            </w:r>
          </w:p>
        </w:tc>
        <w:tc>
          <w:tcPr>
            <w:tcW w:w="2619" w:type="dxa"/>
          </w:tcPr>
          <w:p>
            <w:pPr>
              <w:jc w:val="center"/>
              <w:rPr>
                <w:rFonts w:hint="eastAsia" w:ascii="仿宋_GB2312" w:hAnsi="仿宋_GB2312" w:eastAsia="仿宋_GB2312" w:cs="仿宋_GB2312"/>
                <w:sz w:val="21"/>
                <w:szCs w:val="21"/>
                <w:vertAlign w:val="baseline"/>
                <w:lang w:eastAsia="zh-CN"/>
              </w:rPr>
            </w:pPr>
            <w:r>
              <w:rPr>
                <w:rFonts w:hint="eastAsia" w:ascii="仿宋_GB2312" w:hAnsi="仿宋_GB2312" w:eastAsia="仿宋_GB2312" w:cs="仿宋_GB2312"/>
                <w:sz w:val="21"/>
                <w:szCs w:val="21"/>
                <w:vertAlign w:val="baseline"/>
                <w:lang w:eastAsia="zh-CN"/>
              </w:rPr>
              <w:t>机关事务服务中心</w:t>
            </w:r>
          </w:p>
        </w:tc>
        <w:tc>
          <w:tcPr>
            <w:tcW w:w="1403" w:type="dxa"/>
          </w:tcPr>
          <w:p>
            <w:pPr>
              <w:jc w:val="center"/>
              <w:rPr>
                <w:rFonts w:hint="eastAsia" w:ascii="仿宋_GB2312" w:hAnsi="仿宋_GB2312" w:eastAsia="仿宋_GB2312" w:cs="仿宋_GB2312"/>
                <w:sz w:val="21"/>
                <w:szCs w:val="21"/>
                <w:vertAlign w:val="baseline"/>
                <w:lang w:eastAsia="zh-CN"/>
              </w:rPr>
            </w:pPr>
            <w:r>
              <w:rPr>
                <w:rFonts w:hint="eastAsia" w:ascii="仿宋_GB2312" w:hAnsi="仿宋_GB2312" w:eastAsia="仿宋_GB2312" w:cs="仿宋_GB2312"/>
                <w:sz w:val="21"/>
                <w:szCs w:val="21"/>
                <w:vertAlign w:val="baseline"/>
                <w:lang w:eastAsia="zh-CN"/>
              </w:rPr>
              <w:t>副主任</w:t>
            </w:r>
          </w:p>
        </w:tc>
        <w:tc>
          <w:tcPr>
            <w:tcW w:w="1705" w:type="dxa"/>
          </w:tcPr>
          <w:p>
            <w:pPr>
              <w:jc w:val="center"/>
              <w:rPr>
                <w:rFonts w:hint="eastAsia" w:ascii="仿宋_GB2312" w:hAnsi="仿宋_GB2312" w:eastAsia="仿宋_GB2312" w:cs="仿宋_GB2312"/>
                <w:sz w:val="21"/>
                <w:szCs w:val="21"/>
                <w:vertAlign w:val="baseli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5" w:hRule="atLeast"/>
        </w:trPr>
        <w:tc>
          <w:tcPr>
            <w:tcW w:w="873" w:type="dxa"/>
            <w:vAlign w:val="top"/>
          </w:tcPr>
          <w:p>
            <w:pPr>
              <w:jc w:val="center"/>
              <w:rPr>
                <w:rFonts w:hint="default" w:ascii="仿宋_GB2312" w:hAnsi="仿宋_GB2312" w:eastAsia="仿宋_GB2312" w:cs="仿宋_GB2312"/>
                <w:kern w:val="2"/>
                <w:sz w:val="18"/>
                <w:szCs w:val="18"/>
                <w:vertAlign w:val="baseline"/>
                <w:lang w:val="en-US" w:eastAsia="zh-CN" w:bidi="ar-SA"/>
              </w:rPr>
            </w:pPr>
            <w:r>
              <w:rPr>
                <w:rFonts w:hint="eastAsia" w:ascii="仿宋_GB2312" w:hAnsi="仿宋_GB2312" w:eastAsia="仿宋_GB2312" w:cs="仿宋_GB2312"/>
                <w:kern w:val="2"/>
                <w:sz w:val="18"/>
                <w:szCs w:val="18"/>
                <w:vertAlign w:val="baseline"/>
                <w:lang w:val="en-US" w:eastAsia="zh-CN" w:bidi="ar-SA"/>
              </w:rPr>
              <w:t>3</w:t>
            </w:r>
          </w:p>
        </w:tc>
        <w:tc>
          <w:tcPr>
            <w:tcW w:w="1922" w:type="dxa"/>
            <w:vAlign w:val="top"/>
          </w:tcPr>
          <w:p>
            <w:pPr>
              <w:jc w:val="center"/>
              <w:rPr>
                <w:rFonts w:hint="eastAsia" w:ascii="仿宋_GB2312" w:hAnsi="仿宋_GB2312" w:eastAsia="仿宋_GB2312" w:cs="仿宋_GB2312"/>
                <w:kern w:val="2"/>
                <w:sz w:val="18"/>
                <w:szCs w:val="18"/>
                <w:vertAlign w:val="baseline"/>
                <w:lang w:val="en-US" w:eastAsia="zh-CN" w:bidi="ar-SA"/>
              </w:rPr>
            </w:pPr>
            <w:r>
              <w:rPr>
                <w:rFonts w:hint="eastAsia" w:ascii="仿宋_GB2312" w:hAnsi="仿宋_GB2312" w:eastAsia="仿宋_GB2312" w:cs="仿宋_GB2312"/>
                <w:kern w:val="2"/>
                <w:sz w:val="18"/>
                <w:szCs w:val="18"/>
                <w:vertAlign w:val="baseline"/>
                <w:lang w:val="en-US" w:eastAsia="zh-CN" w:bidi="ar-SA"/>
              </w:rPr>
              <w:t>田大山</w:t>
            </w:r>
          </w:p>
        </w:tc>
        <w:tc>
          <w:tcPr>
            <w:tcW w:w="2619" w:type="dxa"/>
            <w:vAlign w:val="top"/>
          </w:tcPr>
          <w:p>
            <w:pPr>
              <w:jc w:val="center"/>
              <w:rPr>
                <w:rFonts w:hint="eastAsia" w:ascii="仿宋_GB2312" w:hAnsi="仿宋_GB2312" w:eastAsia="仿宋_GB2312" w:cs="仿宋_GB2312"/>
                <w:kern w:val="2"/>
                <w:sz w:val="18"/>
                <w:szCs w:val="18"/>
                <w:vertAlign w:val="baseline"/>
                <w:lang w:val="en-US" w:eastAsia="zh-CN" w:bidi="ar-SA"/>
              </w:rPr>
            </w:pPr>
            <w:r>
              <w:rPr>
                <w:rFonts w:hint="eastAsia" w:ascii="仿宋_GB2312" w:hAnsi="仿宋_GB2312" w:eastAsia="仿宋_GB2312" w:cs="仿宋_GB2312"/>
                <w:sz w:val="21"/>
                <w:szCs w:val="21"/>
                <w:vertAlign w:val="baseline"/>
                <w:lang w:eastAsia="zh-CN"/>
              </w:rPr>
              <w:t>机关事务服务中心</w:t>
            </w:r>
          </w:p>
        </w:tc>
        <w:tc>
          <w:tcPr>
            <w:tcW w:w="1403" w:type="dxa"/>
            <w:vAlign w:val="top"/>
          </w:tcPr>
          <w:p>
            <w:pPr>
              <w:jc w:val="center"/>
              <w:rPr>
                <w:rFonts w:hint="eastAsia" w:ascii="仿宋_GB2312" w:hAnsi="仿宋_GB2312" w:eastAsia="仿宋_GB2312" w:cs="仿宋_GB2312"/>
                <w:kern w:val="2"/>
                <w:sz w:val="32"/>
                <w:szCs w:val="32"/>
                <w:vertAlign w:val="baseline"/>
                <w:lang w:val="en-US" w:eastAsia="zh-CN" w:bidi="ar-SA"/>
              </w:rPr>
            </w:pPr>
            <w:r>
              <w:rPr>
                <w:rFonts w:hint="eastAsia" w:ascii="仿宋_GB2312" w:hAnsi="仿宋_GB2312" w:eastAsia="仿宋_GB2312" w:cs="仿宋_GB2312"/>
                <w:kern w:val="2"/>
                <w:sz w:val="18"/>
                <w:szCs w:val="18"/>
                <w:vertAlign w:val="baseline"/>
                <w:lang w:val="en-US" w:eastAsia="zh-CN" w:bidi="ar-SA"/>
              </w:rPr>
              <w:t>办公室主任</w:t>
            </w:r>
          </w:p>
        </w:tc>
        <w:tc>
          <w:tcPr>
            <w:tcW w:w="1705" w:type="dxa"/>
            <w:vAlign w:val="top"/>
          </w:tcPr>
          <w:p>
            <w:pPr>
              <w:jc w:val="center"/>
              <w:rPr>
                <w:rFonts w:hint="eastAsia" w:ascii="仿宋_GB2312" w:hAnsi="仿宋_GB2312" w:eastAsia="仿宋_GB2312" w:cs="仿宋_GB2312"/>
                <w:kern w:val="2"/>
                <w:sz w:val="32"/>
                <w:szCs w:val="32"/>
                <w:vertAlign w:val="baseline"/>
                <w:lang w:val="en-US" w:eastAsia="zh-CN" w:bidi="ar-SA"/>
              </w:rPr>
            </w:pPr>
          </w:p>
        </w:tc>
      </w:tr>
    </w:tbl>
    <w:p>
      <w:pPr>
        <w:keepNext w:val="0"/>
        <w:keepLines w:val="0"/>
        <w:pageBreakBefore w:val="0"/>
        <w:widowControl w:val="0"/>
        <w:kinsoku/>
        <w:wordWrap/>
        <w:overflowPunct/>
        <w:topLinePunct w:val="0"/>
        <w:autoSpaceDE/>
        <w:autoSpaceDN/>
        <w:bidi w:val="0"/>
        <w:spacing w:line="560" w:lineRule="exact"/>
        <w:jc w:val="both"/>
        <w:textAlignment w:val="auto"/>
      </w:pPr>
    </w:p>
    <w:sectPr>
      <w:footerReference r:id="rId3" w:type="default"/>
      <w:pgSz w:w="11906" w:h="16838"/>
      <w:pgMar w:top="2098" w:right="1474" w:bottom="1984" w:left="1587"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仿宋_GB2312">
    <w:altName w:val="仿宋"/>
    <w:panose1 w:val="02010609030101010101"/>
    <w:charset w:val="86"/>
    <w:family w:val="modern"/>
    <w:pitch w:val="default"/>
    <w:sig w:usb0="00000000" w:usb1="00000000" w:usb2="00000000" w:usb3="00000000" w:csb0="00040000" w:csb1="00000000"/>
  </w:font>
  <w:font w:name="方正小标宋简体">
    <w:altName w:val="黑体"/>
    <w:panose1 w:val="03000509000000000000"/>
    <w:charset w:val="86"/>
    <w:family w:val="auto"/>
    <w:pitch w:val="default"/>
    <w:sig w:usb0="00000000" w:usb1="00000000" w:usb2="00000000" w:usb3="00000000" w:csb0="00040000" w:csb1="00000000"/>
  </w:font>
  <w:font w:name="华文楷体">
    <w:altName w:val="宋体"/>
    <w:panose1 w:val="02010600040101010101"/>
    <w:charset w:val="86"/>
    <w:family w:val="auto"/>
    <w:pitch w:val="default"/>
    <w:sig w:usb0="00000000" w:usb1="00000000" w:usb2="00000000" w:usb3="00000000" w:csb0="0004009F" w:csb1="DFD70000"/>
  </w:font>
  <w:font w:name="楷体_GB2312">
    <w:altName w:val="楷体"/>
    <w:panose1 w:val="02010609030101010101"/>
    <w:charset w:val="86"/>
    <w:family w:val="modern"/>
    <w:pitch w:val="default"/>
    <w:sig w:usb0="00000000" w:usb1="00000000" w:usb2="00000000" w:usb3="00000000" w:csb0="00040000" w:csb1="00000000"/>
  </w:font>
  <w:font w:name="仿宋">
    <w:panose1 w:val="02010609060101010101"/>
    <w:charset w:val="86"/>
    <w:family w:val="modern"/>
    <w:pitch w:val="default"/>
    <w:sig w:usb0="800002BF" w:usb1="38CF7CFA" w:usb2="00000016" w:usb3="00000000" w:csb0="00040001" w:csb1="0000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r>
      <w:rPr>
        <w:sz w:val="18"/>
      </w:rPr>
      <mc:AlternateContent>
        <mc:Choice Requires="wps">
          <w:drawing>
            <wp:anchor distT="0" distB="0" distL="114300" distR="114300" simplePos="0" relativeHeight="251658240"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
                            <w:rPr>
                              <w:rFonts w:hint="eastAsia" w:eastAsia="宋体"/>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w:t>
                          </w:r>
                          <w:r>
                            <w:rPr>
                              <w:rFonts w:hint="eastAsia"/>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824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">
              <v:fill on="f" focussize="0,0"/>
              <v:stroke on="f" weight="0.5pt"/>
              <v:imagedata o:title=""/>
              <o:lock v:ext="edit" aspectratio="f"/>
              <v:textbox inset="0mm,0mm,0mm,0mm" style="mso-fit-shape-to-text:t;">
                <w:txbxContent>
                  <w:p>
                    <w:pPr>
                      <w:pStyle w:val="2"/>
                      <w:rPr>
                        <w:rFonts w:hint="eastAsia" w:eastAsia="宋体"/>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w:t>
                    </w:r>
                    <w:r>
                      <w:rPr>
                        <w:rFonts w:hint="eastAsia"/>
                        <w:lang w:eastAsia="zh-CN"/>
                      </w:rP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91C56569"/>
    <w:multiLevelType w:val="singleLevel"/>
    <w:tmpl w:val="91C56569"/>
    <w:lvl w:ilvl="0" w:tentative="0">
      <w:start w:val="5"/>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F23ED"/>
    <w:rsid w:val="00435163"/>
    <w:rsid w:val="00DF23ED"/>
    <w:rsid w:val="092B040A"/>
    <w:rsid w:val="11266F47"/>
    <w:rsid w:val="1E297CC7"/>
    <w:rsid w:val="23811C7A"/>
    <w:rsid w:val="243248B8"/>
    <w:rsid w:val="2C3C5BCF"/>
    <w:rsid w:val="2EF10F09"/>
    <w:rsid w:val="30326C65"/>
    <w:rsid w:val="34F50014"/>
    <w:rsid w:val="35AF653E"/>
    <w:rsid w:val="380E725B"/>
    <w:rsid w:val="3C535997"/>
    <w:rsid w:val="3CDA6CED"/>
    <w:rsid w:val="4040070E"/>
    <w:rsid w:val="49724E15"/>
    <w:rsid w:val="540C04AE"/>
    <w:rsid w:val="56330960"/>
    <w:rsid w:val="57837F87"/>
    <w:rsid w:val="5C270E73"/>
    <w:rsid w:val="5D8A68D2"/>
    <w:rsid w:val="60054E2E"/>
    <w:rsid w:val="7165244F"/>
    <w:rsid w:val="7F56434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6">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semiHidden/>
    <w:unhideWhenUsed/>
    <w:qFormat/>
    <w:uiPriority w:val="99"/>
    <w:pPr>
      <w:tabs>
        <w:tab w:val="center" w:pos="4153"/>
        <w:tab w:val="right" w:pos="8306"/>
      </w:tabs>
      <w:snapToGrid w:val="0"/>
      <w:jc w:val="left"/>
    </w:pPr>
    <w:rPr>
      <w:sz w:val="18"/>
    </w:rPr>
  </w:style>
  <w:style w:type="paragraph" w:styleId="3">
    <w:name w:val="header"/>
    <w:basedOn w:val="1"/>
    <w:semiHidden/>
    <w:unhideWhenUsed/>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table" w:styleId="5">
    <w:name w:val="Table Grid"/>
    <w:basedOn w:val="4"/>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7">
    <w:name w:val="默认段落字体 Para Char Char Char Char Char Char Char"/>
    <w:basedOn w:val="1"/>
    <w:qFormat/>
    <w:uiPriority w:val="0"/>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微软中国</Company>
  <Pages>3</Pages>
  <Words>122</Words>
  <Characters>701</Characters>
  <Lines>5</Lines>
  <Paragraphs>1</Paragraphs>
  <TotalTime>0</TotalTime>
  <ScaleCrop>false</ScaleCrop>
  <LinksUpToDate>false</LinksUpToDate>
  <CharactersWithSpaces>822</CharactersWithSpaces>
  <Application>WPS Office_11.1.0.9739_F1E327BC-269C-435d-A152-05C5408002CA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2019-09-16T09:17:00Z</dcterms:created>
  <dc:creator>办公室</dc:creator>
  <cp:lastModifiedBy>哈哈</cp:lastModifiedBy>
  <cp:lastPrinted>2020-04-21T08:55:00Z</cp:lastPrinted>
  <dcterms:modified xsi:type="dcterms:W3CDTF">2020-07-24T03:03:22Z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2052-11.1.0.9739</vt:lpwstr>
  </property>
</Properties>
</file>