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ind w:firstLine="320" w:firstLineChars="1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附件2</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880" w:firstLineChars="200"/>
        <w:jc w:val="center"/>
        <w:textAlignment w:val="auto"/>
        <w:rPr>
          <w:rFonts w:hint="eastAsia" w:ascii="方正小标宋简体" w:hAnsi="方正小标宋简体" w:eastAsia="方正小标宋简体" w:cs="方正小标宋简体"/>
          <w:spacing w:val="0"/>
          <w:w w:val="100"/>
          <w:sz w:val="44"/>
          <w:szCs w:val="44"/>
          <w:lang w:val="en-US" w:eastAsia="zh-CN"/>
        </w:rPr>
      </w:pPr>
      <w:r>
        <w:rPr>
          <w:rFonts w:hint="eastAsia" w:ascii="方正小标宋简体" w:hAnsi="方正小标宋简体" w:eastAsia="方正小标宋简体" w:cs="方正小标宋简体"/>
          <w:spacing w:val="0"/>
          <w:w w:val="100"/>
          <w:sz w:val="44"/>
          <w:szCs w:val="44"/>
          <w:lang w:val="en-US" w:eastAsia="zh-CN"/>
        </w:rPr>
        <w:t>藁城区机关事务服务中心关于临时工及长聘人员工资2019年度绩效自评报告</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根据《藁城区区级部门预算项目绩效自评管理办法》（藁财字[2020]23号），遵循“科学性、规范性、客观性和公正性”的原则，对</w:t>
      </w:r>
      <w:r>
        <w:rPr>
          <w:rFonts w:hint="eastAsia" w:ascii="仿宋_GB2312" w:eastAsia="仿宋_GB2312"/>
          <w:sz w:val="32"/>
          <w:szCs w:val="32"/>
          <w:lang w:val="en-US" w:eastAsia="zh-CN"/>
        </w:rPr>
        <w:t>政府临时工及长聘人员工资项目绩效</w:t>
      </w:r>
      <w:r>
        <w:rPr>
          <w:rFonts w:hint="eastAsia" w:ascii="仿宋_GB2312" w:eastAsia="仿宋_GB2312"/>
          <w:sz w:val="32"/>
          <w:szCs w:val="32"/>
          <w:lang w:eastAsia="zh-CN"/>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jc w:val="both"/>
        <w:textAlignment w:val="auto"/>
        <w:rPr>
          <w:rFonts w:hint="eastAsia"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rPr>
        <w:t xml:space="preserve"> </w:t>
      </w:r>
      <w:r>
        <w:rPr>
          <w:rFonts w:hint="eastAsia" w:ascii="仿宋_GB2312" w:eastAsia="仿宋_GB2312"/>
          <w:sz w:val="32"/>
          <w:szCs w:val="32"/>
          <w:lang w:eastAsia="zh-CN"/>
        </w:rPr>
        <w:t>1.项目实施单位及项目立项等基本情况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实施单位：藁城区机关事务服务中心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宋体" w:hAnsi="宋体" w:eastAsia="宋体" w:cs="宋体"/>
          <w:i w:val="0"/>
          <w:color w:val="000000"/>
          <w:kern w:val="0"/>
          <w:sz w:val="20"/>
          <w:szCs w:val="20"/>
          <w:u w:val="none"/>
          <w:lang w:val="en-US" w:eastAsia="zh-CN" w:bidi="ar"/>
        </w:rPr>
      </w:pPr>
      <w:r>
        <w:rPr>
          <w:rFonts w:hint="eastAsia" w:ascii="仿宋_GB2312" w:eastAsia="仿宋_GB2312"/>
          <w:sz w:val="32"/>
          <w:szCs w:val="32"/>
          <w:lang w:val="en-US" w:eastAsia="zh-CN"/>
        </w:rPr>
        <w:t>项目立项基本情况：依据上级管理要求，确保政府东西两院临时工工作人员工资正常发放,确保机关后勤工作顺利有序开展，做好各机关单位的后勤保障工作</w:t>
      </w:r>
      <w:r>
        <w:rPr>
          <w:rFonts w:hint="eastAsia" w:ascii="宋体" w:hAnsi="宋体" w:eastAsia="宋体" w:cs="宋体"/>
          <w:i w:val="0"/>
          <w:color w:val="000000"/>
          <w:kern w:val="0"/>
          <w:sz w:val="20"/>
          <w:szCs w:val="20"/>
          <w:u w:val="none"/>
          <w:lang w:val="en-US" w:eastAsia="zh-CN" w:bidi="ar"/>
        </w:rPr>
        <w:t>。</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2.</w:t>
      </w:r>
      <w:r>
        <w:rPr>
          <w:rFonts w:hint="eastAsia" w:ascii="仿宋_GB2312" w:eastAsia="仿宋_GB2312"/>
          <w:sz w:val="32"/>
          <w:szCs w:val="32"/>
          <w:lang w:eastAsia="zh-CN"/>
        </w:rPr>
        <w:t>项目主要实施内容和范围</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保障工作人员工资正常发放,维护工作人员合法权益，确保单位正常运转。</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3.</w:t>
      </w:r>
      <w:r>
        <w:rPr>
          <w:rFonts w:hint="eastAsia" w:ascii="仿宋_GB2312" w:eastAsia="仿宋_GB2312"/>
          <w:sz w:val="32"/>
          <w:szCs w:val="32"/>
          <w:lang w:eastAsia="zh-CN"/>
        </w:rPr>
        <w:t>项目资金投入情况（资金数量、资金结构、资金来源渠道等）</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eastAsia="zh-CN"/>
        </w:rPr>
        <w:t>区财政局拨款</w:t>
      </w:r>
      <w:r>
        <w:rPr>
          <w:rFonts w:hint="eastAsia" w:ascii="仿宋_GB2312" w:eastAsia="仿宋_GB2312"/>
          <w:sz w:val="32"/>
          <w:szCs w:val="32"/>
          <w:lang w:val="en-US" w:eastAsia="zh-CN"/>
        </w:rPr>
        <w:t>99.84万元，用于政府临时工及长聘人员工资。</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项目预期绩效总目标，阶段性（当年）的绩效目标和指标；</w:t>
      </w:r>
      <w:r>
        <w:rPr>
          <w:rFonts w:hint="eastAsia" w:ascii="仿宋_GB2312" w:eastAsia="仿宋_GB2312"/>
          <w:sz w:val="32"/>
          <w:szCs w:val="32"/>
          <w:lang w:eastAsia="zh-CN"/>
        </w:rPr>
        <w:t>保障机关大院工作能否正常运转，得到领导和职工的一致好评。</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3" w:firstLineChars="200"/>
        <w:textAlignment w:val="auto"/>
        <w:rPr>
          <w:rFonts w:hint="eastAsia" w:ascii="仿宋_GB2312" w:eastAsia="仿宋_GB2312"/>
          <w:sz w:val="32"/>
          <w:szCs w:val="32"/>
          <w:lang w:val="en-US" w:eastAsia="zh-CN"/>
        </w:rPr>
      </w:pPr>
      <w:r>
        <w:rPr>
          <w:rFonts w:hint="eastAsia" w:ascii="宋体" w:hAnsi="宋体"/>
          <w:b/>
          <w:sz w:val="32"/>
          <w:szCs w:val="32"/>
        </w:rPr>
        <w:t>二、自评工作情况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自评的组织工作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成立绩效评价小组，对2019年度政府临时工及长聘人员工资项目财政支出的经济性、效率性及效益性进行重点评价，并针对评价内容做出分析及合理化建议。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自评的方法和过程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主要通过主要负责人和主管科室对政府临时工及长聘人员工资的使用情况开展绩效评价。</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三</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建立绩效评价指标体系</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在开展预算自评工作时，结合机关事务服务中心工作实际，设计能够体现项目特点绩效评价指标体系。绩效指标权重根据本项目实际情况确定，总分设定为100分。产出指标40分，其中提高质量和服务水平的完成率占40分；预算执行率指标10分，包括预算资金使用到位100% 10分；效益指标40分，包括工作管理标准化、规范化程度40分；满意度指标10分，包括使用人员满意度10分。</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cs="黑体"/>
          <w:b w:val="0"/>
          <w:bCs/>
          <w:sz w:val="32"/>
          <w:szCs w:val="32"/>
        </w:rPr>
      </w:pPr>
      <w:r>
        <w:rPr>
          <w:rFonts w:hint="eastAsia" w:ascii="黑体" w:hAnsi="黑体" w:eastAsia="黑体" w:cs="黑体"/>
          <w:b w:val="0"/>
          <w:bCs/>
          <w:sz w:val="32"/>
          <w:szCs w:val="32"/>
        </w:rPr>
        <w:t>三、项目执行及绩效实现情况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（一）项目投入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1.资金落实情况分析。严格按照预算项目绩效目标要求，按时间节点落实资金，保证资金到位率和到位及时率达到100%，分值10分。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1.业务管理情况分析。我单位组织相关人员对项目实施过程全程管理，有效保证了管理制度健全性、制度执行有效性和项目质量可控性，分值5分。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2.财务管理。在项目实施过程中，严格遵守财务制度及财务规范。相关资金使用账目清晰、资金票据及相关附件齐全，资金使用合规、可控，分值5分。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（三）项目产出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通过实地勘察和会计核对，项目的实际完成率、完成及时率、质量达标率、成本节约率均达到95%以上，分值40分。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政府</w:t>
      </w:r>
      <w:bookmarkStart w:id="0" w:name="_GoBack"/>
      <w:r>
        <w:rPr>
          <w:rFonts w:hint="eastAsia" w:ascii="仿宋_GB2312" w:eastAsia="仿宋_GB2312"/>
          <w:sz w:val="32"/>
          <w:szCs w:val="32"/>
          <w:lang w:val="en-US" w:eastAsia="zh-CN"/>
        </w:rPr>
        <w:t>临时工及长聘人员工资</w:t>
      </w:r>
      <w:bookmarkEnd w:id="0"/>
      <w:r>
        <w:rPr>
          <w:rFonts w:hint="eastAsia" w:ascii="仿宋_GB2312" w:eastAsia="仿宋_GB2312"/>
          <w:sz w:val="32"/>
          <w:szCs w:val="32"/>
          <w:lang w:val="en-US" w:eastAsia="zh-CN"/>
        </w:rPr>
        <w:t>项目的可持续影响和服务对象满意度均达到95%以上，分值38分。</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3" w:firstLineChars="200"/>
        <w:textAlignment w:val="auto"/>
        <w:rPr>
          <w:rFonts w:ascii="宋体" w:hAnsi="宋体"/>
          <w:b/>
          <w:sz w:val="32"/>
          <w:szCs w:val="32"/>
        </w:rPr>
      </w:pPr>
      <w:r>
        <w:rPr>
          <w:rFonts w:hint="eastAsia" w:ascii="宋体" w:hAnsi="宋体"/>
          <w:b/>
          <w:sz w:val="32"/>
          <w:szCs w:val="32"/>
        </w:rPr>
        <w:t>四、</w:t>
      </w:r>
      <w:r>
        <w:rPr>
          <w:rFonts w:hint="eastAsia" w:ascii="黑体" w:hAnsi="黑体" w:eastAsia="黑体" w:cs="黑体"/>
          <w:b w:val="0"/>
          <w:bCs/>
          <w:sz w:val="32"/>
          <w:szCs w:val="32"/>
        </w:rPr>
        <w:t>项目综合评价结论和评价等级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根据项目执行情况和项目绩效情况，政府临时工及长聘人员工资绩效评价得分为98分，评价等级为优秀。</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cs="黑体"/>
          <w:b w:val="0"/>
          <w:bCs/>
          <w:sz w:val="32"/>
          <w:szCs w:val="32"/>
        </w:rPr>
      </w:pPr>
      <w:r>
        <w:rPr>
          <w:rFonts w:hint="eastAsia" w:ascii="黑体" w:hAnsi="黑体" w:eastAsia="黑体" w:cs="黑体"/>
          <w:b w:val="0"/>
          <w:bCs/>
          <w:sz w:val="32"/>
          <w:szCs w:val="32"/>
        </w:rPr>
        <w:t>存在的问题及改进措施</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项目存在的主要问题</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保障工作人员工资正常发放,维护工作人员合法权益，确保单位正常运转。</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今后我单位要严格按照“预算编制有目标、预算执行有监控、预算完成有评价、评价结果有反馈、反馈结果有应用”的有关要求，进一步规范报加强内部管理，严控支出，更好的做好服务工作。</w:t>
      </w:r>
    </w:p>
    <w:p>
      <w:pPr>
        <w:keepNext w:val="0"/>
        <w:keepLines w:val="0"/>
        <w:pageBreakBefore w:val="0"/>
        <w:widowControl w:val="0"/>
        <w:numPr>
          <w:ilvl w:val="0"/>
          <w:numId w:val="1"/>
        </w:numPr>
        <w:kinsoku/>
        <w:wordWrap/>
        <w:overflowPunct/>
        <w:topLinePunct w:val="0"/>
        <w:autoSpaceDE/>
        <w:autoSpaceDN/>
        <w:bidi w:val="0"/>
        <w:adjustRightInd w:val="0"/>
        <w:spacing w:line="560" w:lineRule="exact"/>
        <w:ind w:left="0" w:leftChars="0" w:firstLine="640" w:firstLineChars="200"/>
        <w:textAlignment w:val="auto"/>
        <w:rPr>
          <w:rFonts w:hint="eastAsia" w:ascii="仿宋" w:hAnsi="仿宋" w:eastAsia="仿宋"/>
          <w:sz w:val="32"/>
          <w:szCs w:val="32"/>
        </w:rPr>
      </w:pPr>
      <w:r>
        <w:rPr>
          <w:rFonts w:hint="eastAsia" w:ascii="黑体" w:hAnsi="黑体" w:eastAsia="黑体" w:cs="黑体"/>
          <w:b w:val="0"/>
          <w:bCs/>
          <w:sz w:val="32"/>
          <w:szCs w:val="32"/>
        </w:rPr>
        <w:t>评价工作组人员名单及签字</w:t>
      </w:r>
      <w:r>
        <w:rPr>
          <w:rFonts w:hint="eastAsia" w:ascii="仿宋" w:hAnsi="仿宋" w:eastAsia="仿宋"/>
          <w:sz w:val="32"/>
          <w:szCs w:val="32"/>
        </w:rPr>
        <w:t>（姓名、工作单位、职务、职称）</w:t>
      </w:r>
    </w:p>
    <w:p>
      <w:pPr>
        <w:keepNext w:val="0"/>
        <w:keepLines w:val="0"/>
        <w:pageBreakBefore w:val="0"/>
        <w:widowControl w:val="0"/>
        <w:numPr>
          <w:ilvl w:val="0"/>
          <w:numId w:val="0"/>
        </w:numPr>
        <w:kinsoku/>
        <w:wordWrap/>
        <w:overflowPunct/>
        <w:topLinePunct w:val="0"/>
        <w:autoSpaceDE/>
        <w:autoSpaceDN/>
        <w:bidi w:val="0"/>
        <w:adjustRightInd w:val="0"/>
        <w:spacing w:line="560" w:lineRule="exact"/>
        <w:ind w:leftChars="200"/>
        <w:textAlignment w:val="auto"/>
        <w:rPr>
          <w:rFonts w:hint="eastAsia" w:ascii="仿宋" w:hAnsi="仿宋" w:eastAsia="仿宋"/>
          <w:sz w:val="32"/>
          <w:szCs w:val="32"/>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3"/>
        <w:gridCol w:w="1922"/>
        <w:gridCol w:w="2619"/>
        <w:gridCol w:w="1403"/>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序号</w:t>
            </w:r>
          </w:p>
        </w:tc>
        <w:tc>
          <w:tcPr>
            <w:tcW w:w="1922"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姓名</w:t>
            </w:r>
          </w:p>
        </w:tc>
        <w:tc>
          <w:tcPr>
            <w:tcW w:w="2619"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单位</w:t>
            </w:r>
          </w:p>
        </w:tc>
        <w:tc>
          <w:tcPr>
            <w:tcW w:w="140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职务</w:t>
            </w:r>
          </w:p>
        </w:tc>
        <w:tc>
          <w:tcPr>
            <w:tcW w:w="1705"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w:t>
            </w:r>
          </w:p>
        </w:tc>
        <w:tc>
          <w:tcPr>
            <w:tcW w:w="1922"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王建敏</w:t>
            </w:r>
          </w:p>
        </w:tc>
        <w:tc>
          <w:tcPr>
            <w:tcW w:w="2619"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主任</w:t>
            </w:r>
          </w:p>
        </w:tc>
        <w:tc>
          <w:tcPr>
            <w:tcW w:w="1705" w:type="dxa"/>
          </w:tcPr>
          <w:p>
            <w:pPr>
              <w:jc w:val="center"/>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w:t>
            </w:r>
          </w:p>
        </w:tc>
        <w:tc>
          <w:tcPr>
            <w:tcW w:w="1922"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李凯涛</w:t>
            </w:r>
          </w:p>
        </w:tc>
        <w:tc>
          <w:tcPr>
            <w:tcW w:w="2619"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副主任</w:t>
            </w:r>
          </w:p>
        </w:tc>
        <w:tc>
          <w:tcPr>
            <w:tcW w:w="1705" w:type="dxa"/>
          </w:tcPr>
          <w:p>
            <w:pPr>
              <w:jc w:val="center"/>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vAlign w:val="top"/>
          </w:tcPr>
          <w:p>
            <w:pPr>
              <w:jc w:val="center"/>
              <w:rPr>
                <w:rFonts w:hint="default"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3</w:t>
            </w:r>
          </w:p>
        </w:tc>
        <w:tc>
          <w:tcPr>
            <w:tcW w:w="1922" w:type="dxa"/>
            <w:vAlign w:val="top"/>
          </w:tcPr>
          <w:p>
            <w:pPr>
              <w:jc w:val="center"/>
              <w:rPr>
                <w:rFonts w:hint="eastAsia"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田大山</w:t>
            </w:r>
          </w:p>
        </w:tc>
        <w:tc>
          <w:tcPr>
            <w:tcW w:w="2619" w:type="dxa"/>
            <w:vAlign w:val="top"/>
          </w:tcPr>
          <w:p>
            <w:pPr>
              <w:jc w:val="center"/>
              <w:rPr>
                <w:rFonts w:hint="eastAsia"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sz w:val="21"/>
                <w:szCs w:val="21"/>
                <w:vertAlign w:val="baseline"/>
                <w:lang w:eastAsia="zh-CN"/>
              </w:rPr>
              <w:t>机关事务服务中心</w:t>
            </w:r>
          </w:p>
        </w:tc>
        <w:tc>
          <w:tcPr>
            <w:tcW w:w="1403" w:type="dxa"/>
            <w:vAlign w:val="top"/>
          </w:tcPr>
          <w:p>
            <w:pPr>
              <w:jc w:val="center"/>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办公室主任</w:t>
            </w:r>
          </w:p>
        </w:tc>
        <w:tc>
          <w:tcPr>
            <w:tcW w:w="1705" w:type="dxa"/>
            <w:vAlign w:val="top"/>
          </w:tcPr>
          <w:p>
            <w:pPr>
              <w:jc w:val="center"/>
              <w:rPr>
                <w:rFonts w:hint="eastAsia" w:ascii="仿宋_GB2312" w:hAnsi="仿宋_GB2312" w:eastAsia="仿宋_GB2312" w:cs="仿宋_GB2312"/>
                <w:kern w:val="2"/>
                <w:sz w:val="32"/>
                <w:szCs w:val="32"/>
                <w:vertAlign w:val="baseline"/>
                <w:lang w:val="en-US" w:eastAsia="zh-CN" w:bidi="ar-SA"/>
              </w:rPr>
            </w:pPr>
          </w:p>
        </w:tc>
      </w:tr>
    </w:tbl>
    <w:p>
      <w:pPr>
        <w:keepNext w:val="0"/>
        <w:keepLines w:val="0"/>
        <w:pageBreakBefore w:val="0"/>
        <w:widowControl w:val="0"/>
        <w:kinsoku/>
        <w:wordWrap/>
        <w:overflowPunct/>
        <w:topLinePunct w:val="0"/>
        <w:autoSpaceDE/>
        <w:autoSpaceDN/>
        <w:bidi w:val="0"/>
        <w:spacing w:line="560" w:lineRule="exact"/>
        <w:jc w:val="both"/>
        <w:textAlignment w:val="auto"/>
      </w:pPr>
    </w:p>
    <w:sectPr>
      <w:footerReference r:id="rId3" w:type="default"/>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C56569"/>
    <w:multiLevelType w:val="singleLevel"/>
    <w:tmpl w:val="91C5656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92B040A"/>
    <w:rsid w:val="11266F47"/>
    <w:rsid w:val="11633EEF"/>
    <w:rsid w:val="1E297CC7"/>
    <w:rsid w:val="23811C7A"/>
    <w:rsid w:val="243248B8"/>
    <w:rsid w:val="2C3C5BCF"/>
    <w:rsid w:val="30326C65"/>
    <w:rsid w:val="325C6A0A"/>
    <w:rsid w:val="35AF653E"/>
    <w:rsid w:val="380E725B"/>
    <w:rsid w:val="3C535997"/>
    <w:rsid w:val="3CDA6CED"/>
    <w:rsid w:val="4040070E"/>
    <w:rsid w:val="42EB31B5"/>
    <w:rsid w:val="49724E15"/>
    <w:rsid w:val="540C04AE"/>
    <w:rsid w:val="56330960"/>
    <w:rsid w:val="57837F87"/>
    <w:rsid w:val="5D8A68D2"/>
    <w:rsid w:val="60054E2E"/>
    <w:rsid w:val="7165244F"/>
    <w:rsid w:val="7F5643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1</TotalTime>
  <ScaleCrop>false</ScaleCrop>
  <LinksUpToDate>false</LinksUpToDate>
  <CharactersWithSpaces>822</CharactersWithSpaces>
  <Application>WPS Office_11.1.0.9739_F1E327BC-269C-435d-A152-05C5408002CA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哈哈</cp:lastModifiedBy>
  <cp:lastPrinted>2020-04-21T08:55:00Z</cp:lastPrinted>
  <dcterms:modified xsi:type="dcterms:W3CDTF">2020-07-24T03:02:46Z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2052-11.1.0.9739</vt:lpwstr>
  </property>
</Properties>
</file>