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南董镇政府</w:t>
      </w:r>
    </w:p>
    <w:p>
      <w:pPr>
        <w:spacing w:line="360" w:lineRule="auto"/>
        <w:jc w:val="center"/>
        <w:rPr>
          <w:rFonts w:hint="eastAsia" w:ascii="宋体" w:hAnsi="宋体" w:eastAsia="宋体" w:cs="宋体"/>
          <w:b/>
          <w:bCs/>
          <w:sz w:val="44"/>
          <w:szCs w:val="44"/>
        </w:rPr>
      </w:pPr>
      <w:r>
        <w:rPr>
          <w:rFonts w:hint="eastAsia" w:ascii="宋体" w:hAnsi="宋体" w:cs="宋体"/>
          <w:b/>
          <w:bCs/>
          <w:sz w:val="44"/>
          <w:szCs w:val="44"/>
          <w:lang w:val="en-US" w:eastAsia="zh-CN"/>
        </w:rPr>
        <w:t>学区工会费</w:t>
      </w:r>
      <w:r>
        <w:rPr>
          <w:rFonts w:hint="eastAsia" w:ascii="宋体" w:hAnsi="宋体" w:eastAsia="宋体" w:cs="宋体"/>
          <w:b/>
          <w:bCs/>
          <w:sz w:val="44"/>
          <w:szCs w:val="44"/>
        </w:rPr>
        <w:t>项目</w:t>
      </w:r>
      <w:r>
        <w:rPr>
          <w:rFonts w:hint="eastAsia" w:ascii="宋体" w:hAnsi="宋体" w:eastAsia="宋体" w:cs="宋体"/>
          <w:b/>
          <w:bCs/>
          <w:sz w:val="44"/>
          <w:szCs w:val="44"/>
          <w:lang w:val="en-US" w:eastAsia="zh-CN"/>
        </w:rPr>
        <w:t>201</w:t>
      </w:r>
      <w:r>
        <w:rPr>
          <w:rFonts w:hint="eastAsia" w:ascii="宋体" w:hAnsi="宋体" w:cs="宋体"/>
          <w:b/>
          <w:bCs/>
          <w:sz w:val="44"/>
          <w:szCs w:val="44"/>
          <w:lang w:val="en-US" w:eastAsia="zh-CN"/>
        </w:rPr>
        <w:t>9</w:t>
      </w:r>
      <w:r>
        <w:rPr>
          <w:rFonts w:hint="eastAsia" w:ascii="宋体" w:hAnsi="宋体" w:eastAsia="宋体" w:cs="宋体"/>
          <w:b/>
          <w:bCs/>
          <w:sz w:val="44"/>
          <w:szCs w:val="44"/>
        </w:rPr>
        <w:t>年度绩效自评报告</w:t>
      </w:r>
    </w:p>
    <w:p>
      <w:pPr>
        <w:spacing w:line="360" w:lineRule="auto"/>
        <w:jc w:val="center"/>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w:t>
      </w:r>
      <w:r>
        <w:rPr>
          <w:rFonts w:hint="eastAsia" w:ascii="仿宋_GB2312" w:eastAsia="仿宋_GB2312"/>
          <w:sz w:val="32"/>
          <w:szCs w:val="32"/>
          <w:lang w:val="en-US" w:eastAsia="zh-CN"/>
        </w:rPr>
        <w:t>区级部门预算项目绩效自评管理办法</w:t>
      </w:r>
      <w:r>
        <w:rPr>
          <w:rFonts w:hint="eastAsia" w:ascii="仿宋_GB2312" w:eastAsia="仿宋_GB2312"/>
          <w:sz w:val="32"/>
          <w:szCs w:val="32"/>
        </w:rPr>
        <w:t>》（藁财【20</w:t>
      </w:r>
      <w:r>
        <w:rPr>
          <w:rFonts w:hint="eastAsia" w:ascii="仿宋_GB2312" w:eastAsia="仿宋_GB2312"/>
          <w:sz w:val="32"/>
          <w:szCs w:val="32"/>
          <w:lang w:val="en-US" w:eastAsia="zh-CN"/>
        </w:rPr>
        <w:t>20</w:t>
      </w:r>
      <w:r>
        <w:rPr>
          <w:rFonts w:hint="eastAsia" w:ascii="仿宋_GB2312" w:eastAsia="仿宋_GB2312"/>
          <w:sz w:val="32"/>
          <w:szCs w:val="32"/>
        </w:rPr>
        <w:t>】</w:t>
      </w:r>
      <w:r>
        <w:rPr>
          <w:rFonts w:hint="eastAsia" w:ascii="仿宋_GB2312" w:eastAsia="仿宋_GB2312"/>
          <w:sz w:val="32"/>
          <w:szCs w:val="32"/>
          <w:lang w:val="en-US" w:eastAsia="zh-CN"/>
        </w:rPr>
        <w:t>23</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val="en-US" w:eastAsia="zh-CN"/>
        </w:rPr>
        <w:t>我镇</w:t>
      </w:r>
      <w:r>
        <w:rPr>
          <w:rFonts w:hint="eastAsia" w:ascii="仿宋_GB2312" w:eastAsia="仿宋_GB2312"/>
          <w:sz w:val="32"/>
          <w:szCs w:val="32"/>
          <w:lang w:eastAsia="zh-CN"/>
        </w:rPr>
        <w:t>学区工会费</w:t>
      </w:r>
      <w:r>
        <w:rPr>
          <w:rFonts w:hint="eastAsia" w:ascii="仿宋_GB2312" w:eastAsia="仿宋_GB2312"/>
          <w:sz w:val="32"/>
          <w:szCs w:val="32"/>
        </w:rPr>
        <w:t>项目实施了绩效评价，形成本评价报告。</w:t>
      </w:r>
    </w:p>
    <w:p>
      <w:pPr>
        <w:keepNext w:val="0"/>
        <w:keepLines w:val="0"/>
        <w:pageBreakBefore w:val="0"/>
        <w:kinsoku/>
        <w:wordWrap/>
        <w:overflowPunct/>
        <w:topLinePunct w:val="0"/>
        <w:autoSpaceDE/>
        <w:autoSpaceDN/>
        <w:bidi w:val="0"/>
        <w:adjustRightInd w:val="0"/>
        <w:snapToGrid w:val="0"/>
        <w:spacing w:line="420" w:lineRule="exact"/>
        <w:textAlignment w:val="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南董镇学区工会费2019年项目预算资金为16万元，项目实施单位为南董镇人民政府，主要用于</w:t>
      </w:r>
      <w:r>
        <w:rPr>
          <w:rFonts w:hint="eastAsia" w:ascii="仿宋_GB2312" w:eastAsia="仿宋_GB2312"/>
          <w:sz w:val="32"/>
          <w:szCs w:val="32"/>
          <w:lang w:eastAsia="zh-CN"/>
        </w:rPr>
        <w:t>定时足额将</w:t>
      </w:r>
      <w:r>
        <w:rPr>
          <w:rFonts w:hint="eastAsia" w:ascii="仿宋_GB2312" w:eastAsia="仿宋_GB2312"/>
          <w:sz w:val="32"/>
          <w:szCs w:val="32"/>
          <w:lang w:val="en-US" w:eastAsia="zh-CN"/>
        </w:rPr>
        <w:t>南董</w:t>
      </w:r>
      <w:r>
        <w:rPr>
          <w:rFonts w:hint="eastAsia" w:ascii="仿宋_GB2312" w:eastAsia="仿宋_GB2312"/>
          <w:sz w:val="32"/>
          <w:szCs w:val="32"/>
          <w:lang w:eastAsia="zh-CN"/>
        </w:rPr>
        <w:t>学区工会费上缴至区总工会，</w:t>
      </w:r>
      <w:r>
        <w:rPr>
          <w:rFonts w:hint="eastAsia" w:ascii="仿宋_GB2312" w:eastAsia="仿宋_GB2312"/>
          <w:sz w:val="32"/>
          <w:szCs w:val="32"/>
          <w:lang w:val="en-US" w:eastAsia="zh-CN"/>
        </w:rPr>
        <w:t>合理安排工会费支出，加强基层工会建设，</w:t>
      </w:r>
      <w:r>
        <w:rPr>
          <w:rFonts w:hint="eastAsia" w:ascii="仿宋_GB2312" w:eastAsia="仿宋_GB2312"/>
          <w:sz w:val="32"/>
          <w:szCs w:val="32"/>
          <w:lang w:eastAsia="zh-CN"/>
        </w:rPr>
        <w:t>确保工会各项工作顺利开展。</w:t>
      </w:r>
      <w:r>
        <w:rPr>
          <w:rFonts w:hint="eastAsia" w:ascii="仿宋_GB2312" w:eastAsia="仿宋_GB2312"/>
          <w:sz w:val="32"/>
          <w:szCs w:val="32"/>
          <w:lang w:val="en-US" w:eastAsia="zh-CN"/>
        </w:rPr>
        <w:t>资金来源为一般公共预算。</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南董学区工会费</w:t>
      </w:r>
      <w:r>
        <w:rPr>
          <w:rFonts w:hint="eastAsia" w:ascii="仿宋_GB2312" w:eastAsia="仿宋_GB2312"/>
          <w:sz w:val="32"/>
          <w:szCs w:val="32"/>
        </w:rPr>
        <w:t>项目绩效总目标</w:t>
      </w:r>
      <w:r>
        <w:rPr>
          <w:rFonts w:hint="eastAsia" w:ascii="仿宋_GB2312" w:eastAsia="仿宋_GB2312"/>
          <w:sz w:val="32"/>
          <w:szCs w:val="32"/>
          <w:lang w:val="en-US" w:eastAsia="zh-CN"/>
        </w:rPr>
        <w:t>是及时上缴工会费，保切实提高工会工作水平，保障工会工作顺利开展。</w:t>
      </w:r>
    </w:p>
    <w:p>
      <w:pPr>
        <w:keepNext w:val="0"/>
        <w:keepLines w:val="0"/>
        <w:pageBreakBefore w:val="0"/>
        <w:widowControl w:val="0"/>
        <w:numPr>
          <w:ilvl w:val="0"/>
          <w:numId w:val="1"/>
        </w:numPr>
        <w:kinsoku/>
        <w:wordWrap/>
        <w:overflowPunct/>
        <w:topLinePunct w:val="0"/>
        <w:autoSpaceDE/>
        <w:autoSpaceDN/>
        <w:bidi w:val="0"/>
        <w:adjustRightInd w:val="0"/>
        <w:snapToGrid w:val="0"/>
        <w:spacing w:line="4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绩效评价工作情况</w:t>
      </w:r>
    </w:p>
    <w:p>
      <w:pPr>
        <w:keepNext w:val="0"/>
        <w:keepLines w:val="0"/>
        <w:pageBreakBefore w:val="0"/>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自评的组织工作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4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根据《藁城区区级部门预算项目绩效自评管理办法》的要求，组成</w:t>
      </w:r>
      <w:r>
        <w:rPr>
          <w:rFonts w:hint="eastAsia" w:ascii="仿宋" w:hAnsi="仿宋" w:eastAsia="仿宋" w:cs="仿宋"/>
          <w:sz w:val="32"/>
          <w:szCs w:val="32"/>
          <w:lang w:val="en-US" w:eastAsia="zh-CN"/>
        </w:rPr>
        <w:t>绩效自评组</w:t>
      </w:r>
      <w:r>
        <w:rPr>
          <w:rFonts w:hint="eastAsia" w:ascii="仿宋" w:hAnsi="仿宋" w:eastAsia="仿宋" w:cs="仿宋"/>
          <w:sz w:val="32"/>
          <w:szCs w:val="32"/>
          <w:lang w:eastAsia="zh-CN"/>
        </w:rPr>
        <w:t>，</w:t>
      </w:r>
      <w:r>
        <w:rPr>
          <w:rFonts w:hint="eastAsia" w:ascii="仿宋_GB2312" w:eastAsia="仿宋_GB2312"/>
          <w:sz w:val="32"/>
          <w:szCs w:val="32"/>
          <w:lang w:val="en-US" w:eastAsia="zh-CN"/>
        </w:rPr>
        <w:t>以预期绩效目标为指导，</w:t>
      </w:r>
      <w:r>
        <w:rPr>
          <w:rFonts w:hint="eastAsia" w:ascii="仿宋" w:hAnsi="仿宋" w:eastAsia="仿宋" w:cs="仿宋"/>
          <w:sz w:val="32"/>
          <w:szCs w:val="32"/>
        </w:rPr>
        <w:t>对201</w:t>
      </w:r>
      <w:r>
        <w:rPr>
          <w:rFonts w:hint="eastAsia" w:ascii="仿宋" w:hAnsi="仿宋" w:eastAsia="仿宋" w:cs="仿宋"/>
          <w:sz w:val="32"/>
          <w:szCs w:val="32"/>
          <w:lang w:val="en-US" w:eastAsia="zh-CN"/>
        </w:rPr>
        <w:t>9年南董学区工会费项目</w:t>
      </w:r>
      <w:r>
        <w:rPr>
          <w:rFonts w:hint="eastAsia" w:ascii="仿宋_GB2312" w:eastAsia="仿宋_GB2312"/>
          <w:sz w:val="32"/>
          <w:szCs w:val="32"/>
          <w:lang w:val="en-US" w:eastAsia="zh-CN"/>
        </w:rPr>
        <w:t>按照各项指标进行对照打分，</w:t>
      </w:r>
      <w:r>
        <w:rPr>
          <w:rFonts w:hint="eastAsia" w:ascii="仿宋" w:hAnsi="仿宋" w:eastAsia="仿宋" w:cs="仿宋"/>
          <w:sz w:val="32"/>
          <w:szCs w:val="32"/>
        </w:rPr>
        <w:t>并针对评价内容做出分析及合理化建议。</w:t>
      </w:r>
    </w:p>
    <w:p>
      <w:pPr>
        <w:keepNext w:val="0"/>
        <w:keepLines w:val="0"/>
        <w:pageBreakBefore w:val="0"/>
        <w:numPr>
          <w:ilvl w:val="0"/>
          <w:numId w:val="2"/>
        </w:numPr>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pStyle w:val="7"/>
        <w:keepNext w:val="0"/>
        <w:keepLines w:val="0"/>
        <w:pageBreakBefore w:val="0"/>
        <w:kinsoku/>
        <w:wordWrap/>
        <w:overflowPunct/>
        <w:topLinePunct w:val="0"/>
        <w:autoSpaceDE/>
        <w:autoSpaceDN/>
        <w:bidi w:val="0"/>
        <w:adjustRightInd w:val="0"/>
        <w:snapToGrid w:val="0"/>
        <w:spacing w:line="420" w:lineRule="exact"/>
        <w:ind w:firstLineChars="0"/>
        <w:jc w:val="left"/>
        <w:textAlignment w:val="auto"/>
        <w:rPr>
          <w:rFonts w:hint="eastAsia" w:ascii="楷体_GB2312" w:hAnsi="楷体_GB2312" w:eastAsia="楷体_GB2312" w:cs="楷体_GB2312"/>
          <w:sz w:val="32"/>
          <w:szCs w:val="32"/>
        </w:rPr>
      </w:pPr>
      <w:r>
        <w:rPr>
          <w:rFonts w:hint="eastAsia" w:ascii="仿宋" w:hAnsi="仿宋" w:eastAsia="仿宋" w:cs="仿宋"/>
          <w:color w:val="000000"/>
          <w:sz w:val="32"/>
          <w:szCs w:val="32"/>
          <w:lang w:val="en-US" w:eastAsia="zh-CN" w:bidi="ar-SA"/>
        </w:rPr>
        <w:t>主要通过现场查看及查阅相关文件资料方式及随机调查问卷的方式开展绩效评价。</w:t>
      </w:r>
    </w:p>
    <w:p>
      <w:pPr>
        <w:keepNext w:val="0"/>
        <w:keepLines w:val="0"/>
        <w:pageBreakBefore w:val="0"/>
        <w:kinsoku/>
        <w:wordWrap/>
        <w:overflowPunct/>
        <w:topLinePunct w:val="0"/>
        <w:autoSpaceDE/>
        <w:autoSpaceDN/>
        <w:bidi w:val="0"/>
        <w:spacing w:line="420" w:lineRule="exact"/>
        <w:ind w:firstLine="633" w:firstLineChars="198"/>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根据项目执行情况和项目绩效情况，指标体系设定满分100分</w:t>
      </w:r>
      <w:r>
        <w:rPr>
          <w:rFonts w:hint="eastAsia" w:ascii="仿宋_GB2312" w:eastAsia="仿宋_GB2312"/>
          <w:sz w:val="32"/>
          <w:szCs w:val="32"/>
          <w:lang w:eastAsia="zh-CN"/>
        </w:rPr>
        <w:t>：</w:t>
      </w:r>
      <w:r>
        <w:rPr>
          <w:rFonts w:hint="eastAsia" w:ascii="仿宋_GB2312" w:eastAsia="仿宋_GB2312"/>
          <w:sz w:val="32"/>
          <w:szCs w:val="32"/>
        </w:rPr>
        <w:t>产出指标40分（包含数量</w:t>
      </w:r>
      <w:r>
        <w:rPr>
          <w:rFonts w:hint="eastAsia" w:ascii="仿宋_GB2312" w:eastAsia="仿宋_GB2312"/>
          <w:sz w:val="32"/>
          <w:szCs w:val="32"/>
          <w:lang w:val="en-US" w:eastAsia="zh-CN"/>
        </w:rPr>
        <w:t>指标15分</w:t>
      </w:r>
      <w:r>
        <w:rPr>
          <w:rFonts w:hint="eastAsia" w:ascii="仿宋_GB2312" w:eastAsia="仿宋_GB2312"/>
          <w:sz w:val="32"/>
          <w:szCs w:val="32"/>
        </w:rPr>
        <w:t>、质量</w:t>
      </w:r>
      <w:r>
        <w:rPr>
          <w:rFonts w:hint="eastAsia" w:ascii="仿宋_GB2312" w:eastAsia="仿宋_GB2312"/>
          <w:sz w:val="32"/>
          <w:szCs w:val="32"/>
          <w:lang w:val="en-US" w:eastAsia="zh-CN"/>
        </w:rPr>
        <w:t>指标15分</w:t>
      </w:r>
      <w:r>
        <w:rPr>
          <w:rFonts w:hint="eastAsia" w:ascii="仿宋_GB2312" w:eastAsia="仿宋_GB2312"/>
          <w:sz w:val="32"/>
          <w:szCs w:val="32"/>
        </w:rPr>
        <w:t>、时效</w:t>
      </w:r>
      <w:r>
        <w:rPr>
          <w:rFonts w:hint="eastAsia" w:ascii="仿宋_GB2312" w:eastAsia="仿宋_GB2312"/>
          <w:sz w:val="32"/>
          <w:szCs w:val="32"/>
          <w:lang w:val="en-US" w:eastAsia="zh-CN"/>
        </w:rPr>
        <w:t>指标10分)</w:t>
      </w:r>
      <w:r>
        <w:rPr>
          <w:rFonts w:hint="eastAsia" w:ascii="仿宋_GB2312" w:eastAsia="仿宋_GB2312"/>
          <w:sz w:val="32"/>
          <w:szCs w:val="32"/>
        </w:rPr>
        <w:t>、预算执行率指标10分、效益指标40分</w:t>
      </w:r>
      <w:r>
        <w:rPr>
          <w:rFonts w:hint="eastAsia" w:ascii="仿宋_GB2312" w:eastAsia="仿宋_GB2312"/>
          <w:sz w:val="32"/>
          <w:szCs w:val="32"/>
          <w:lang w:eastAsia="zh-CN"/>
        </w:rPr>
        <w:t>，</w:t>
      </w:r>
      <w:r>
        <w:rPr>
          <w:rFonts w:hint="eastAsia" w:ascii="仿宋_GB2312" w:eastAsia="仿宋_GB2312"/>
          <w:sz w:val="32"/>
          <w:szCs w:val="32"/>
        </w:rPr>
        <w:t>满意度指标10分。</w:t>
      </w:r>
    </w:p>
    <w:tbl>
      <w:tblPr>
        <w:tblStyle w:val="2"/>
        <w:tblW w:w="9180" w:type="dxa"/>
        <w:tblInd w:w="-625" w:type="dxa"/>
        <w:shd w:val="clear" w:color="auto" w:fill="auto"/>
        <w:tblLayout w:type="fixed"/>
        <w:tblCellMar>
          <w:top w:w="0" w:type="dxa"/>
          <w:left w:w="0" w:type="dxa"/>
          <w:bottom w:w="0" w:type="dxa"/>
          <w:right w:w="0" w:type="dxa"/>
        </w:tblCellMar>
      </w:tblPr>
      <w:tblGrid>
        <w:gridCol w:w="920"/>
        <w:gridCol w:w="1412"/>
        <w:gridCol w:w="1411"/>
        <w:gridCol w:w="1435"/>
        <w:gridCol w:w="733"/>
        <w:gridCol w:w="733"/>
        <w:gridCol w:w="733"/>
        <w:gridCol w:w="734"/>
        <w:gridCol w:w="1069"/>
      </w:tblGrid>
      <w:tr>
        <w:tblPrEx>
          <w:shd w:val="clear" w:color="auto" w:fill="auto"/>
          <w:tblCellMar>
            <w:top w:w="0" w:type="dxa"/>
            <w:left w:w="0" w:type="dxa"/>
            <w:bottom w:w="0" w:type="dxa"/>
            <w:right w:w="0" w:type="dxa"/>
          </w:tblCellMar>
        </w:tblPrEx>
        <w:trPr>
          <w:trHeight w:val="669"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一级指标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kern w:val="0"/>
                <w:sz w:val="18"/>
                <w:szCs w:val="18"/>
                <w:u w:val="none"/>
                <w:lang w:val="en-US" w:eastAsia="zh-CN" w:bidi="ar"/>
              </w:rPr>
            </w:pPr>
            <w:r>
              <w:rPr>
                <w:rFonts w:hint="eastAsia" w:ascii="宋体" w:hAnsi="宋体" w:cs="宋体"/>
                <w:b/>
                <w:i w:val="0"/>
                <w:color w:val="000000"/>
                <w:kern w:val="0"/>
                <w:sz w:val="18"/>
                <w:szCs w:val="18"/>
                <w:u w:val="none"/>
                <w:lang w:val="en-US" w:eastAsia="zh-CN" w:bidi="ar"/>
              </w:rPr>
              <w:t>二级指标</w:t>
            </w:r>
          </w:p>
        </w:tc>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三级指标</w:t>
            </w:r>
          </w:p>
        </w:tc>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绩效指标评价标准</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评价标准确定依据</w:t>
            </w:r>
          </w:p>
        </w:tc>
      </w:tr>
      <w:tr>
        <w:tblPrEx>
          <w:shd w:val="clear" w:color="auto" w:fill="auto"/>
          <w:tblCellMar>
            <w:top w:w="0" w:type="dxa"/>
            <w:left w:w="0" w:type="dxa"/>
            <w:bottom w:w="0" w:type="dxa"/>
            <w:right w:w="0" w:type="dxa"/>
          </w:tblCellMar>
        </w:tblPrEx>
        <w:trPr>
          <w:trHeight w:val="66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优</w:t>
            </w: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良</w:t>
            </w: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中</w:t>
            </w:r>
          </w:p>
        </w:tc>
        <w:tc>
          <w:tcPr>
            <w:tcW w:w="734"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差</w:t>
            </w: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r>
      <w:tr>
        <w:tblPrEx>
          <w:shd w:val="clear" w:color="auto" w:fill="auto"/>
          <w:tblCellMar>
            <w:top w:w="0" w:type="dxa"/>
            <w:left w:w="0" w:type="dxa"/>
            <w:bottom w:w="0" w:type="dxa"/>
            <w:right w:w="0" w:type="dxa"/>
          </w:tblCellMar>
        </w:tblPrEx>
        <w:trPr>
          <w:trHeight w:val="1108" w:hRule="atLeast"/>
        </w:trPr>
        <w:tc>
          <w:tcPr>
            <w:tcW w:w="920" w:type="dxa"/>
            <w:vMerge w:val="restart"/>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rPr>
            </w:pPr>
            <w:r>
              <w:rPr>
                <w:rFonts w:hint="eastAsia" w:ascii="楷体_GB2312" w:hAnsi="宋体" w:eastAsia="楷体_GB2312" w:cs="楷体_GB2312"/>
                <w:i w:val="0"/>
                <w:color w:val="000000"/>
                <w:kern w:val="0"/>
                <w:sz w:val="22"/>
                <w:szCs w:val="22"/>
                <w:u w:val="none"/>
                <w:lang w:val="en-US" w:eastAsia="zh-CN" w:bidi="ar"/>
              </w:rPr>
              <w:t>数量</w:t>
            </w:r>
            <w:r>
              <w:rPr>
                <w:rFonts w:hint="default" w:ascii="楷体_GB2312" w:hAnsi="宋体" w:eastAsia="楷体_GB2312" w:cs="楷体_GB2312"/>
                <w:i w:val="0"/>
                <w:color w:val="000000"/>
                <w:kern w:val="0"/>
                <w:sz w:val="22"/>
                <w:szCs w:val="22"/>
                <w:u w:val="none"/>
                <w:lang w:val="en-US" w:eastAsia="zh-CN" w:bidi="ar"/>
              </w:rPr>
              <w:t>指标</w:t>
            </w:r>
          </w:p>
        </w:tc>
        <w:tc>
          <w:tcPr>
            <w:tcW w:w="1411"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工会经费保障率</w:t>
            </w:r>
          </w:p>
        </w:tc>
        <w:tc>
          <w:tcPr>
            <w:tcW w:w="1435" w:type="dxa"/>
            <w:tcBorders>
              <w:top w:val="single" w:color="000000"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保障单位工会工作顺利进行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ascii="宋体" w:hAnsi="宋体" w:eastAsia="宋体" w:cs="宋体"/>
                <w:i w:val="0"/>
                <w:color w:val="000000"/>
                <w:sz w:val="18"/>
                <w:szCs w:val="18"/>
                <w:u w:val="none"/>
                <w:lang w:val="en-US"/>
              </w:rPr>
            </w:pPr>
            <w:r>
              <w:rPr>
                <w:rFonts w:hint="eastAsia"/>
              </w:rPr>
              <w:t>85%以上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000000"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上级文件</w:t>
            </w:r>
          </w:p>
        </w:tc>
      </w:tr>
      <w:tr>
        <w:tblPrEx>
          <w:shd w:val="clear" w:color="auto" w:fill="auto"/>
          <w:tblCellMar>
            <w:top w:w="0" w:type="dxa"/>
            <w:left w:w="0" w:type="dxa"/>
            <w:bottom w:w="0" w:type="dxa"/>
            <w:right w:w="0" w:type="dxa"/>
          </w:tblCellMar>
        </w:tblPrEx>
        <w:trPr>
          <w:trHeight w:val="482" w:hRule="atLeast"/>
        </w:trPr>
        <w:tc>
          <w:tcPr>
            <w:tcW w:w="920" w:type="dxa"/>
            <w:vMerge w:val="continue"/>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质量指标</w:t>
            </w:r>
          </w:p>
        </w:tc>
        <w:tc>
          <w:tcPr>
            <w:tcW w:w="1411" w:type="dxa"/>
            <w:tcBorders>
              <w:top w:val="single" w:color="000000" w:sz="4" w:space="0"/>
              <w:left w:val="single" w:color="auto"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工会经费拨付及时率</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保障单位工会经费及时拨付</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w:t>
            </w:r>
            <w:r>
              <w:rPr>
                <w:rFonts w:hint="eastAsia"/>
                <w:lang w:val="en-US" w:eastAsia="zh-CN"/>
              </w:rPr>
              <w:t>0</w:t>
            </w:r>
            <w:r>
              <w:rPr>
                <w:rFonts w:hint="eastAsia"/>
              </w:rPr>
              <w:t>%以上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w:t>
            </w:r>
            <w:r>
              <w:rPr>
                <w:rFonts w:hint="eastAsia"/>
                <w:lang w:val="en-US" w:eastAsia="zh-CN"/>
              </w:rPr>
              <w:t>5</w:t>
            </w:r>
            <w:r>
              <w:rPr>
                <w:rFonts w:hint="eastAsia"/>
              </w:rPr>
              <w:t>%以上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lang w:eastAsia="zh-CN"/>
              </w:rPr>
              <w:t>查阅资料</w:t>
            </w:r>
          </w:p>
        </w:tc>
      </w:tr>
      <w:tr>
        <w:tblPrEx>
          <w:shd w:val="clear" w:color="auto" w:fill="auto"/>
          <w:tblCellMar>
            <w:top w:w="0" w:type="dxa"/>
            <w:left w:w="0" w:type="dxa"/>
            <w:bottom w:w="0" w:type="dxa"/>
            <w:right w:w="0" w:type="dxa"/>
          </w:tblCellMar>
        </w:tblPrEx>
        <w:trPr>
          <w:trHeight w:val="482" w:hRule="atLeast"/>
        </w:trPr>
        <w:tc>
          <w:tcPr>
            <w:tcW w:w="920" w:type="dxa"/>
            <w:vMerge w:val="continue"/>
            <w:tcBorders>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pPr>
          </w:p>
        </w:tc>
        <w:tc>
          <w:tcPr>
            <w:tcW w:w="1412"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时效指标</w:t>
            </w:r>
          </w:p>
        </w:tc>
        <w:tc>
          <w:tcPr>
            <w:tcW w:w="1411"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default" w:eastAsia="宋体"/>
                <w:lang w:val="en-US" w:eastAsia="zh-CN"/>
              </w:rPr>
            </w:pPr>
            <w:r>
              <w:rPr>
                <w:rFonts w:hint="eastAsia"/>
                <w:lang w:val="en-US" w:eastAsia="zh-CN"/>
              </w:rPr>
              <w:t>扣缴情况</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default" w:eastAsia="宋体"/>
                <w:lang w:val="en-US" w:eastAsia="zh-CN"/>
              </w:rPr>
            </w:pPr>
            <w:r>
              <w:rPr>
                <w:rFonts w:hint="eastAsia"/>
                <w:lang w:val="en-US" w:eastAsia="zh-CN"/>
              </w:rPr>
              <w:t>是否按时扣缴</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按时</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未按时</w:t>
            </w:r>
          </w:p>
        </w:tc>
        <w:tc>
          <w:tcPr>
            <w:tcW w:w="10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查阅资料</w:t>
            </w:r>
          </w:p>
        </w:tc>
      </w:tr>
      <w:tr>
        <w:tblPrEx>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lang w:eastAsia="zh-CN"/>
              </w:rPr>
            </w:pPr>
            <w:r>
              <w:rPr>
                <w:rFonts w:hint="eastAsia" w:ascii="宋体" w:hAnsi="宋体" w:cs="宋体"/>
                <w:b/>
                <w:i w:val="0"/>
                <w:color w:val="000000"/>
                <w:sz w:val="18"/>
                <w:szCs w:val="18"/>
                <w:u w:val="none"/>
                <w:lang w:eastAsia="zh-CN"/>
              </w:rPr>
              <w:t>预算执行</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预算执行率</w:t>
            </w:r>
          </w:p>
        </w:tc>
        <w:tc>
          <w:tcPr>
            <w:tcW w:w="1411"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预算执行率</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是否按预算进度执行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严格</w:t>
            </w:r>
            <w:r>
              <w:rPr>
                <w:rFonts w:hint="eastAsia"/>
                <w:lang w:val="en-US" w:eastAsia="zh-CN"/>
              </w:rPr>
              <w:t xml:space="preserve"> </w:t>
            </w:r>
            <w:r>
              <w:rPr>
                <w:rFonts w:hint="eastAsia"/>
                <w:lang w:eastAsia="zh-CN"/>
              </w:rPr>
              <w:t>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ind w:firstLine="210" w:firstLineChars="100"/>
              <w:jc w:val="center"/>
              <w:textAlignment w:val="center"/>
              <w:rPr>
                <w:rFonts w:hint="eastAsia" w:eastAsia="宋体"/>
                <w:lang w:eastAsia="zh-CN"/>
              </w:rPr>
            </w:pPr>
            <w:r>
              <w:rPr>
                <w:rFonts w:hint="eastAsia"/>
                <w:lang w:eastAsia="zh-CN"/>
              </w:rPr>
              <w:t>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基本</w:t>
            </w:r>
            <w:r>
              <w:rPr>
                <w:rFonts w:hint="eastAsia"/>
                <w:lang w:val="en-US" w:eastAsia="zh-CN"/>
              </w:rPr>
              <w:t xml:space="preserve"> </w:t>
            </w:r>
            <w:r>
              <w:rPr>
                <w:rFonts w:hint="eastAsia"/>
                <w:lang w:eastAsia="zh-CN"/>
              </w:rPr>
              <w:t>执行</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未执行</w:t>
            </w:r>
          </w:p>
        </w:tc>
        <w:tc>
          <w:tcPr>
            <w:tcW w:w="1069" w:type="dxa"/>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eastAsia="zh-CN"/>
              </w:rPr>
            </w:pPr>
            <w:r>
              <w:rPr>
                <w:rFonts w:hint="eastAsia"/>
                <w:lang w:eastAsia="zh-CN"/>
              </w:rPr>
              <w:t>查阅资料</w:t>
            </w:r>
          </w:p>
        </w:tc>
      </w:tr>
      <w:tr>
        <w:tblPrEx>
          <w:shd w:val="clear" w:color="auto" w:fill="auto"/>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cs="宋体"/>
                <w:b/>
                <w:i w:val="0"/>
                <w:color w:val="000000"/>
                <w:sz w:val="18"/>
                <w:szCs w:val="18"/>
                <w:u w:val="none"/>
                <w:lang w:eastAsia="zh-CN"/>
              </w:rPr>
            </w:pPr>
            <w:r>
              <w:rPr>
                <w:rFonts w:hint="eastAsia" w:ascii="宋体" w:hAnsi="宋体" w:cs="宋体"/>
                <w:b/>
                <w:i w:val="0"/>
                <w:color w:val="000000"/>
                <w:sz w:val="18"/>
                <w:szCs w:val="18"/>
                <w:u w:val="none"/>
                <w:lang w:eastAsia="zh-CN"/>
              </w:rPr>
              <w:t>效益指标</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社会效益指标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可持续影响指标</w:t>
            </w:r>
          </w:p>
        </w:tc>
        <w:tc>
          <w:tcPr>
            <w:tcW w:w="143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rPr>
              <w:t>工会工作是否顺利开展</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开展情况好</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开展情况较好</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开展情况一般</w:t>
            </w:r>
          </w:p>
        </w:tc>
        <w:tc>
          <w:tcPr>
            <w:tcW w:w="73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开展情况较差</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rPr>
              <w:t>调查问卷</w:t>
            </w:r>
          </w:p>
        </w:tc>
      </w:tr>
      <w:tr>
        <w:tblPrEx>
          <w:tblCellMar>
            <w:top w:w="0" w:type="dxa"/>
            <w:left w:w="0" w:type="dxa"/>
            <w:bottom w:w="0" w:type="dxa"/>
            <w:right w:w="0" w:type="dxa"/>
          </w:tblCellMar>
        </w:tblPrEx>
        <w:trPr>
          <w:trHeight w:val="987"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default"/>
                <w:lang w:val="en-US" w:eastAsia="zh-CN"/>
              </w:rPr>
              <w:t>服务对象满意度指标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rPr>
              <w:t>满意率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rPr>
              <w:t>单位群众对工会工作的满意率</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调查问卷</w:t>
            </w:r>
          </w:p>
        </w:tc>
      </w:tr>
    </w:tbl>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p>
    <w:p>
      <w:pPr>
        <w:keepNext w:val="0"/>
        <w:keepLines w:val="0"/>
        <w:pageBreakBefore w:val="0"/>
        <w:kinsoku/>
        <w:wordWrap/>
        <w:overflowPunct/>
        <w:topLinePunct w:val="0"/>
        <w:autoSpaceDE/>
        <w:autoSpaceDN/>
        <w:bidi w:val="0"/>
        <w:spacing w:line="420" w:lineRule="exact"/>
        <w:ind w:firstLine="633" w:firstLineChars="198"/>
        <w:textAlignment w:val="auto"/>
        <w:rPr>
          <w:rFonts w:ascii="黑体" w:hAnsi="黑体" w:eastAsia="黑体" w:cs="黑体"/>
          <w:sz w:val="32"/>
          <w:szCs w:val="32"/>
        </w:rPr>
      </w:pPr>
      <w:r>
        <w:rPr>
          <w:rFonts w:hint="eastAsia" w:ascii="黑体" w:hAnsi="黑体" w:eastAsia="黑体" w:cs="黑体"/>
          <w:sz w:val="32"/>
          <w:szCs w:val="32"/>
        </w:rPr>
        <w:t>三、项目执行及绩效实际情况</w:t>
      </w:r>
    </w:p>
    <w:p>
      <w:pPr>
        <w:keepNext w:val="0"/>
        <w:keepLines w:val="0"/>
        <w:pageBreakBefore w:val="0"/>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项目投入</w:t>
      </w:r>
    </w:p>
    <w:p>
      <w:pPr>
        <w:keepNext w:val="0"/>
        <w:keepLines w:val="0"/>
        <w:pageBreakBefore w:val="0"/>
        <w:kinsoku/>
        <w:wordWrap/>
        <w:overflowPunct/>
        <w:topLinePunct w:val="0"/>
        <w:autoSpaceDE/>
        <w:autoSpaceDN/>
        <w:bidi w:val="0"/>
        <w:spacing w:line="420" w:lineRule="exact"/>
        <w:ind w:firstLine="633" w:firstLineChars="198"/>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1、项目立项情况分析。</w:t>
      </w:r>
    </w:p>
    <w:p>
      <w:pPr>
        <w:pStyle w:val="6"/>
        <w:keepNext w:val="0"/>
        <w:keepLines w:val="0"/>
        <w:pageBreakBefore w:val="0"/>
        <w:kinsoku/>
        <w:wordWrap/>
        <w:overflowPunct/>
        <w:topLinePunct w:val="0"/>
        <w:bidi w:val="0"/>
        <w:snapToGrid w:val="0"/>
        <w:spacing w:line="420" w:lineRule="exact"/>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为保障区总工会工会经费收缴正常，确保工会各项工作顺利开展，南董镇政府根据《2019年部门预算人员经费及日常公用经费预算编制政策说明》相关要求，按照南董学区应发工资总额0.8%标准，上缴区总工会项目立项规范，符合相关制度要求。2019年学区工会费项目要完成区总工会经费保障工作，其绩效总体目标较充分、客观，符合国家相关法律法规和政府决策。该指标满分15分，扣0分，得分15分。</w:t>
      </w:r>
    </w:p>
    <w:p>
      <w:pPr>
        <w:pStyle w:val="6"/>
        <w:keepNext w:val="0"/>
        <w:keepLines w:val="0"/>
        <w:pageBreakBefore w:val="0"/>
        <w:kinsoku/>
        <w:wordWrap/>
        <w:overflowPunct/>
        <w:topLinePunct w:val="0"/>
        <w:bidi w:val="0"/>
        <w:snapToGrid w:val="0"/>
        <w:spacing w:line="420" w:lineRule="exact"/>
        <w:ind w:firstLine="640" w:firstLineChars="200"/>
        <w:jc w:val="both"/>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2、资金落实情况分析。</w:t>
      </w:r>
    </w:p>
    <w:p>
      <w:pPr>
        <w:keepNext w:val="0"/>
        <w:keepLines w:val="0"/>
        <w:pageBreakBefore w:val="0"/>
        <w:widowControl/>
        <w:kinsoku/>
        <w:wordWrap/>
        <w:overflowPunct/>
        <w:topLinePunct w:val="0"/>
        <w:autoSpaceDE/>
        <w:autoSpaceDN/>
        <w:bidi w:val="0"/>
        <w:snapToGrid w:val="0"/>
        <w:spacing w:line="420" w:lineRule="exact"/>
        <w:ind w:firstLine="640" w:firstLineChars="200"/>
        <w:jc w:val="left"/>
        <w:textAlignment w:val="auto"/>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2019年南董学区工会费项目资金共下达16万元，实际到位资金16万元，及时足额上缴至藁城工会。该指标满分15分，扣0分，得分15分。</w:t>
      </w:r>
    </w:p>
    <w:p>
      <w:pPr>
        <w:keepNext w:val="0"/>
        <w:keepLines w:val="0"/>
        <w:pageBreakBefore w:val="0"/>
        <w:numPr>
          <w:ilvl w:val="0"/>
          <w:numId w:val="3"/>
        </w:numPr>
        <w:kinsoku/>
        <w:wordWrap/>
        <w:overflowPunct/>
        <w:topLinePunct w:val="0"/>
        <w:autoSpaceDE/>
        <w:autoSpaceDN/>
        <w:bidi w:val="0"/>
        <w:spacing w:line="420" w:lineRule="exac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项目实施过程</w:t>
      </w:r>
    </w:p>
    <w:p>
      <w:pPr>
        <w:keepNext w:val="0"/>
        <w:keepLines w:val="0"/>
        <w:pageBreakBefore w:val="0"/>
        <w:numPr>
          <w:numId w:val="0"/>
        </w:numPr>
        <w:kinsoku/>
        <w:wordWrap/>
        <w:overflowPunct/>
        <w:topLinePunct w:val="0"/>
        <w:autoSpaceDE/>
        <w:autoSpaceDN/>
        <w:bidi w:val="0"/>
        <w:spacing w:line="420" w:lineRule="exact"/>
        <w:ind w:left="642" w:leftChars="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1、业务管理情况分析。</w:t>
      </w:r>
    </w:p>
    <w:p>
      <w:pPr>
        <w:keepNext w:val="0"/>
        <w:keepLines w:val="0"/>
        <w:pageBreakBefore w:val="0"/>
        <w:widowControl/>
        <w:kinsoku/>
        <w:wordWrap/>
        <w:overflowPunct/>
        <w:topLinePunct w:val="0"/>
        <w:autoSpaceDE/>
        <w:autoSpaceDN/>
        <w:bidi w:val="0"/>
        <w:snapToGrid w:val="0"/>
        <w:spacing w:line="420" w:lineRule="exact"/>
        <w:ind w:firstLine="640" w:firstLineChars="200"/>
        <w:jc w:val="left"/>
        <w:textAlignment w:val="auto"/>
        <w:rPr>
          <w:rFonts w:hint="default" w:ascii="仿宋_GB2312"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学区工会费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资金下达、使用，均按照藁城区财政局资金管理制度、财务管理制度执行，相关管理制度度健全完备。该指标</w:t>
      </w:r>
      <w:r>
        <w:rPr>
          <w:rFonts w:hint="eastAsia" w:ascii="仿宋_GB2312" w:hAnsi="宋体" w:eastAsia="仿宋_GB2312" w:cs="宋体"/>
          <w:color w:val="000000"/>
          <w:kern w:val="0"/>
          <w:sz w:val="32"/>
          <w:szCs w:val="32"/>
          <w:lang w:val="en-US" w:eastAsia="zh-CN" w:bidi="ar-SA"/>
        </w:rPr>
        <w:t>满分5分，扣0分，得分5分。</w:t>
      </w:r>
    </w:p>
    <w:p>
      <w:pPr>
        <w:pStyle w:val="6"/>
        <w:keepNext w:val="0"/>
        <w:keepLines w:val="0"/>
        <w:pageBreakBefore w:val="0"/>
        <w:kinsoku/>
        <w:wordWrap/>
        <w:overflowPunct/>
        <w:topLinePunct w:val="0"/>
        <w:bidi w:val="0"/>
        <w:snapToGrid w:val="0"/>
        <w:spacing w:line="420" w:lineRule="exact"/>
        <w:ind w:firstLine="640" w:firstLineChars="200"/>
        <w:jc w:val="both"/>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2、财务管理。</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该项目财务管理制度健全，项目资金的管理和费用支出能够按照项目财务管理制度执行。项目资金使用规范，不存在虚列（套取）、截留、挤占、挪用等情况。</w:t>
      </w:r>
      <w:r>
        <w:rPr>
          <w:rFonts w:hint="eastAsia" w:ascii="仿宋_GB2312" w:eastAsia="仿宋_GB2312" w:cs="宋体"/>
          <w:color w:val="000000"/>
          <w:kern w:val="0"/>
          <w:sz w:val="32"/>
          <w:szCs w:val="32"/>
          <w:lang w:val="en-US" w:eastAsia="zh-CN" w:bidi="ar-SA"/>
        </w:rPr>
        <w:t>该指标</w:t>
      </w:r>
      <w:r>
        <w:rPr>
          <w:rFonts w:hint="eastAsia" w:ascii="仿宋_GB2312" w:hAnsi="宋体" w:eastAsia="仿宋_GB2312" w:cs="宋体"/>
          <w:color w:val="000000"/>
          <w:kern w:val="0"/>
          <w:sz w:val="32"/>
          <w:szCs w:val="32"/>
          <w:lang w:val="en-US" w:eastAsia="zh-CN" w:bidi="ar-SA"/>
        </w:rPr>
        <w:t>满分5分，扣0分，得分5分。</w:t>
      </w:r>
    </w:p>
    <w:p>
      <w:pPr>
        <w:keepNext w:val="0"/>
        <w:keepLines w:val="0"/>
        <w:pageBreakBefore w:val="0"/>
        <w:numPr>
          <w:ilvl w:val="0"/>
          <w:numId w:val="3"/>
        </w:numPr>
        <w:kinsoku/>
        <w:wordWrap/>
        <w:overflowPunct/>
        <w:topLinePunct w:val="0"/>
        <w:autoSpaceDE/>
        <w:autoSpaceDN/>
        <w:bidi w:val="0"/>
        <w:spacing w:line="42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项目产出</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2019年南董学区工会费项目资金共下达16万元，</w:t>
      </w:r>
      <w:r>
        <w:rPr>
          <w:rFonts w:hint="eastAsia" w:ascii="仿宋_GB2312" w:eastAsia="仿宋_GB2312" w:cs="宋体"/>
          <w:color w:val="000000"/>
          <w:kern w:val="0"/>
          <w:sz w:val="32"/>
          <w:szCs w:val="32"/>
          <w:lang w:val="en-US" w:eastAsia="zh-CN" w:bidi="ar-SA"/>
        </w:rPr>
        <w:t>由区财政局根据支出进度直接划拨至区总工会账户，</w:t>
      </w:r>
      <w:r>
        <w:rPr>
          <w:rFonts w:hint="eastAsia" w:ascii="仿宋_GB2312" w:hAnsi="宋体" w:eastAsia="仿宋_GB2312" w:cs="宋体"/>
          <w:color w:val="000000"/>
          <w:kern w:val="0"/>
          <w:sz w:val="32"/>
          <w:szCs w:val="32"/>
          <w:lang w:val="en-US" w:eastAsia="zh-CN" w:bidi="ar-SA"/>
        </w:rPr>
        <w:t>实际到位资金16万元</w:t>
      </w:r>
      <w:r>
        <w:rPr>
          <w:rFonts w:hint="eastAsia" w:ascii="仿宋_GB2312" w:eastAsia="仿宋_GB2312" w:cs="宋体"/>
          <w:color w:val="000000"/>
          <w:kern w:val="0"/>
          <w:sz w:val="32"/>
          <w:szCs w:val="32"/>
          <w:lang w:val="en-US" w:eastAsia="zh-CN" w:bidi="ar-SA"/>
        </w:rPr>
        <w:t>，资金拨付及时，学区工会费项目全部完成。该指标</w:t>
      </w:r>
      <w:r>
        <w:rPr>
          <w:rFonts w:hint="eastAsia" w:ascii="仿宋_GB2312" w:hAnsi="宋体" w:eastAsia="仿宋_GB2312" w:cs="宋体"/>
          <w:color w:val="000000"/>
          <w:kern w:val="0"/>
          <w:sz w:val="32"/>
          <w:szCs w:val="32"/>
          <w:lang w:val="en-US" w:eastAsia="zh-CN" w:bidi="ar-SA"/>
        </w:rPr>
        <w:t>满分10分，扣0分，得分10分。</w:t>
      </w:r>
    </w:p>
    <w:p>
      <w:pPr>
        <w:pStyle w:val="6"/>
        <w:keepNext w:val="0"/>
        <w:keepLines w:val="0"/>
        <w:pageBreakBefore w:val="0"/>
        <w:numPr>
          <w:ilvl w:val="0"/>
          <w:numId w:val="3"/>
        </w:numPr>
        <w:kinsoku/>
        <w:wordWrap/>
        <w:overflowPunct/>
        <w:topLinePunct w:val="0"/>
        <w:bidi w:val="0"/>
        <w:snapToGrid w:val="0"/>
        <w:spacing w:line="420" w:lineRule="exact"/>
        <w:ind w:left="642" w:leftChars="0" w:firstLine="0" w:firstLineChars="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项目效果</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工会费能够足额按时上缴，通过对工会会员的调查</w:t>
      </w:r>
      <w:bookmarkStart w:id="0" w:name="_GoBack"/>
      <w:bookmarkEnd w:id="0"/>
      <w:r>
        <w:rPr>
          <w:rFonts w:hint="eastAsia" w:ascii="仿宋_GB2312" w:hAnsi="宋体" w:eastAsia="仿宋_GB2312" w:cs="宋体"/>
          <w:color w:val="000000"/>
          <w:kern w:val="0"/>
          <w:sz w:val="32"/>
          <w:szCs w:val="32"/>
          <w:lang w:val="en-US" w:eastAsia="zh-CN" w:bidi="ar-SA"/>
        </w:rPr>
        <w:t>问卷得出工会工作开展比较顺利，单位群众对工会工作基本满意。该指标</w:t>
      </w:r>
      <w:r>
        <w:rPr>
          <w:rFonts w:hint="eastAsia" w:ascii="仿宋_GB2312" w:hAnsi="宋体" w:eastAsia="仿宋_GB2312" w:cs="宋体"/>
          <w:color w:val="000000"/>
          <w:kern w:val="0"/>
          <w:sz w:val="32"/>
          <w:szCs w:val="32"/>
          <w:lang w:val="en-US" w:eastAsia="zh-CN" w:bidi="ar-SA"/>
        </w:rPr>
        <w:t>满分50分，扣0分，得分45分。</w:t>
      </w:r>
    </w:p>
    <w:p>
      <w:pPr>
        <w:keepNext w:val="0"/>
        <w:keepLines w:val="0"/>
        <w:pageBreakBefore w:val="0"/>
        <w:kinsoku/>
        <w:wordWrap/>
        <w:overflowPunct/>
        <w:topLinePunct w:val="0"/>
        <w:autoSpaceDE/>
        <w:autoSpaceDN/>
        <w:bidi w:val="0"/>
        <w:spacing w:line="420" w:lineRule="exact"/>
        <w:ind w:firstLine="640" w:firstLineChars="200"/>
        <w:textAlignment w:val="auto"/>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kinsoku/>
        <w:wordWrap/>
        <w:overflowPunct/>
        <w:topLinePunct w:val="0"/>
        <w:autoSpaceDE/>
        <w:autoSpaceDN/>
        <w:bidi w:val="0"/>
        <w:spacing w:line="420" w:lineRule="exact"/>
        <w:ind w:firstLine="640" w:firstLineChars="200"/>
        <w:textAlignment w:val="auto"/>
        <w:rPr>
          <w:rFonts w:ascii="仿宋_GB2312" w:eastAsia="仿宋_GB2312"/>
          <w:sz w:val="32"/>
          <w:szCs w:val="32"/>
        </w:rPr>
      </w:pPr>
      <w:r>
        <w:rPr>
          <w:rFonts w:hint="eastAsia" w:ascii="仿宋_GB2312" w:eastAsia="仿宋_GB2312"/>
          <w:sz w:val="32"/>
          <w:szCs w:val="32"/>
          <w:lang w:val="en-US" w:eastAsia="zh-CN"/>
        </w:rPr>
        <w:t>南董</w:t>
      </w:r>
      <w:r>
        <w:rPr>
          <w:rFonts w:hint="eastAsia" w:ascii="仿宋_GB2312" w:eastAsia="仿宋_GB2312"/>
          <w:sz w:val="32"/>
          <w:szCs w:val="32"/>
          <w:lang w:eastAsia="zh-CN"/>
        </w:rPr>
        <w:t>学区工会费</w:t>
      </w:r>
      <w:r>
        <w:rPr>
          <w:rFonts w:hint="eastAsia" w:ascii="仿宋_GB2312" w:eastAsia="仿宋_GB2312"/>
          <w:sz w:val="32"/>
          <w:szCs w:val="32"/>
        </w:rPr>
        <w:t>项目能及时按标准发放。</w:t>
      </w:r>
      <w:r>
        <w:rPr>
          <w:rFonts w:hint="eastAsia" w:ascii="仿宋_GB2312" w:eastAsia="仿宋_GB2312"/>
          <w:sz w:val="34"/>
          <w:szCs w:val="34"/>
        </w:rPr>
        <w:t>基本达到了预期的绩效目标，</w:t>
      </w:r>
      <w:r>
        <w:rPr>
          <w:rFonts w:hint="eastAsia" w:ascii="仿宋_GB2312" w:eastAsia="仿宋_GB2312"/>
          <w:sz w:val="34"/>
          <w:szCs w:val="34"/>
          <w:lang w:val="en-US" w:eastAsia="zh-CN"/>
        </w:rPr>
        <w:t>得分为95分，</w:t>
      </w:r>
      <w:r>
        <w:rPr>
          <w:rFonts w:hint="eastAsia" w:ascii="仿宋_GB2312" w:eastAsia="仿宋_GB2312"/>
          <w:sz w:val="34"/>
          <w:szCs w:val="34"/>
        </w:rPr>
        <w:t>综合绩效评价结果为“优秀”。</w:t>
      </w:r>
    </w:p>
    <w:p>
      <w:pPr>
        <w:keepNext w:val="0"/>
        <w:keepLines w:val="0"/>
        <w:pageBreakBefore w:val="0"/>
        <w:kinsoku/>
        <w:wordWrap/>
        <w:overflowPunct/>
        <w:topLinePunct w:val="0"/>
        <w:autoSpaceDE/>
        <w:autoSpaceDN/>
        <w:bidi w:val="0"/>
        <w:spacing w:line="420" w:lineRule="exact"/>
        <w:ind w:firstLine="640" w:firstLineChars="200"/>
        <w:textAlignment w:val="auto"/>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无</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ascii="楷体_GB2312" w:hAnsi="楷体_GB2312" w:eastAsia="楷体_GB2312"/>
          <w:sz w:val="32"/>
          <w:szCs w:val="32"/>
        </w:rPr>
      </w:pPr>
      <w:r>
        <w:rPr>
          <w:rFonts w:hint="eastAsia" w:ascii="黑体" w:eastAsia="黑体"/>
          <w:sz w:val="32"/>
          <w:szCs w:val="32"/>
        </w:rPr>
        <w:t>六、评价工作组人员名单及签字</w:t>
      </w:r>
    </w:p>
    <w:tbl>
      <w:tblPr>
        <w:tblStyle w:val="3"/>
        <w:tblW w:w="84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6"/>
        <w:gridCol w:w="1438"/>
        <w:gridCol w:w="2213"/>
        <w:gridCol w:w="1841"/>
        <w:gridCol w:w="16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工作单位</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职务</w:t>
            </w:r>
          </w:p>
        </w:tc>
        <w:tc>
          <w:tcPr>
            <w:tcW w:w="1733" w:type="dxa"/>
            <w:vAlign w:val="center"/>
          </w:tcPr>
          <w:p>
            <w:pPr>
              <w:keepNext w:val="0"/>
              <w:keepLines w:val="0"/>
              <w:pageBreakBefore w:val="0"/>
              <w:kinsoku/>
              <w:wordWrap/>
              <w:overflowPunct/>
              <w:topLinePunct w:val="0"/>
              <w:bidi w:val="0"/>
              <w:spacing w:line="420" w:lineRule="exact"/>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王志钢</w:t>
            </w:r>
          </w:p>
        </w:tc>
        <w:tc>
          <w:tcPr>
            <w:tcW w:w="2274"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南董镇政府</w:t>
            </w:r>
          </w:p>
        </w:tc>
        <w:tc>
          <w:tcPr>
            <w:tcW w:w="1890"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镇长</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pPr>
              <w:keepNext w:val="0"/>
              <w:keepLines w:val="0"/>
              <w:pageBreakBefore w:val="0"/>
              <w:kinsoku/>
              <w:wordWrap/>
              <w:overflowPunct/>
              <w:topLinePunct w:val="0"/>
              <w:bidi w:val="0"/>
              <w:spacing w:line="420" w:lineRule="exact"/>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张涛</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kern w:val="2"/>
                <w:sz w:val="32"/>
                <w:szCs w:val="32"/>
                <w:vertAlign w:val="baseline"/>
                <w:lang w:val="en-US" w:eastAsia="zh-CN" w:bidi="ar-SA"/>
              </w:rPr>
              <w:t>纪委书记</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申中辉</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人大副主席</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杨建</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农经站长</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5</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韩凡</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财政所会计</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6</w:t>
            </w:r>
          </w:p>
        </w:tc>
        <w:tc>
          <w:tcPr>
            <w:tcW w:w="1475"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吴红曼</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财政所出纳</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bl>
    <w:p>
      <w:pPr>
        <w:keepNext w:val="0"/>
        <w:keepLines w:val="0"/>
        <w:pageBreakBefore w:val="0"/>
        <w:kinsoku/>
        <w:wordWrap/>
        <w:overflowPunct/>
        <w:topLinePunct w:val="0"/>
        <w:bidi w:val="0"/>
        <w:spacing w:line="420" w:lineRule="exact"/>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27BEDB7"/>
    <w:multiLevelType w:val="singleLevel"/>
    <w:tmpl w:val="A27BEDB7"/>
    <w:lvl w:ilvl="0" w:tentative="0">
      <w:start w:val="2"/>
      <w:numFmt w:val="chineseCounting"/>
      <w:suff w:val="nothing"/>
      <w:lvlText w:val="（%1）"/>
      <w:lvlJc w:val="left"/>
      <w:pPr>
        <w:ind w:left="642" w:firstLine="0"/>
      </w:pPr>
      <w:rPr>
        <w:rFonts w:hint="eastAsia"/>
      </w:rPr>
    </w:lvl>
  </w:abstractNum>
  <w:abstractNum w:abstractNumId="1">
    <w:nsid w:val="4DFA5241"/>
    <w:multiLevelType w:val="singleLevel"/>
    <w:tmpl w:val="4DFA5241"/>
    <w:lvl w:ilvl="0" w:tentative="0">
      <w:start w:val="2"/>
      <w:numFmt w:val="chineseCounting"/>
      <w:suff w:val="nothing"/>
      <w:lvlText w:val="%1、"/>
      <w:lvlJc w:val="left"/>
      <w:rPr>
        <w:rFonts w:hint="eastAsia"/>
      </w:rPr>
    </w:lvl>
  </w:abstractNum>
  <w:abstractNum w:abstractNumId="2">
    <w:nsid w:val="5AC4878C"/>
    <w:multiLevelType w:val="singleLevel"/>
    <w:tmpl w:val="5AC4878C"/>
    <w:lvl w:ilvl="0" w:tentative="0">
      <w:start w:val="2"/>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DF23ED"/>
    <w:rsid w:val="000E6059"/>
    <w:rsid w:val="001053ED"/>
    <w:rsid w:val="00196DB5"/>
    <w:rsid w:val="001A6385"/>
    <w:rsid w:val="001B60F2"/>
    <w:rsid w:val="002B2F3E"/>
    <w:rsid w:val="003C00B4"/>
    <w:rsid w:val="00435163"/>
    <w:rsid w:val="00435B93"/>
    <w:rsid w:val="004362A8"/>
    <w:rsid w:val="005F5AB7"/>
    <w:rsid w:val="006A3168"/>
    <w:rsid w:val="008C75F4"/>
    <w:rsid w:val="009F6512"/>
    <w:rsid w:val="00A5237F"/>
    <w:rsid w:val="00B551BA"/>
    <w:rsid w:val="00BF30C7"/>
    <w:rsid w:val="00C50C7E"/>
    <w:rsid w:val="00DF23ED"/>
    <w:rsid w:val="00E2628A"/>
    <w:rsid w:val="05DB4EBF"/>
    <w:rsid w:val="08B16CC3"/>
    <w:rsid w:val="0BA560FD"/>
    <w:rsid w:val="0F3C0747"/>
    <w:rsid w:val="1C3B5FE7"/>
    <w:rsid w:val="23A85BA2"/>
    <w:rsid w:val="247C3826"/>
    <w:rsid w:val="25AE71CA"/>
    <w:rsid w:val="28785CF5"/>
    <w:rsid w:val="29C663DD"/>
    <w:rsid w:val="31F64DB5"/>
    <w:rsid w:val="39733958"/>
    <w:rsid w:val="4AAA195A"/>
    <w:rsid w:val="545835A7"/>
    <w:rsid w:val="56330960"/>
    <w:rsid w:val="568962A7"/>
    <w:rsid w:val="69745B69"/>
    <w:rsid w:val="720768CB"/>
    <w:rsid w:val="78127D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 w:type="paragraph" w:customStyle="1" w:styleId="6">
    <w:name w:val="Default"/>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 w:type="paragraph" w:customStyle="1" w:styleId="7">
    <w:name w:val="列出段落1"/>
    <w:basedOn w:val="1"/>
    <w:unhideWhenUsed/>
    <w:qFormat/>
    <w:uiPriority w:val="99"/>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873C7B-ADE8-4FE4-9973-FFD8A3E5795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171</Words>
  <Characters>980</Characters>
  <Lines>8</Lines>
  <Paragraphs>2</Paragraphs>
  <TotalTime>2</TotalTime>
  <ScaleCrop>false</ScaleCrop>
  <LinksUpToDate>false</LinksUpToDate>
  <CharactersWithSpaces>1149</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韩小木</cp:lastModifiedBy>
  <dcterms:modified xsi:type="dcterms:W3CDTF">2020-07-31T09:05:01Z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