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2807AC">
      <w:pPr>
        <w:adjustRightInd w:val="0"/>
        <w:snapToGrid w:val="0"/>
        <w:spacing w:line="620" w:lineRule="exact"/>
        <w:rPr>
          <w:rFonts w:ascii="宋体" w:hAnsi="宋体"/>
          <w:sz w:val="44"/>
          <w:szCs w:val="44"/>
        </w:rPr>
      </w:pPr>
      <w:r>
        <w:rPr>
          <w:rFonts w:hint="eastAsia" w:ascii="仿宋" w:hAnsi="仿宋" w:eastAsia="仿宋"/>
          <w:sz w:val="32"/>
          <w:szCs w:val="32"/>
        </w:rPr>
        <w:t>附件2</w:t>
      </w:r>
    </w:p>
    <w:p w14:paraId="46A2A9EA">
      <w:pPr>
        <w:adjustRightInd w:val="0"/>
        <w:snapToGrid w:val="0"/>
        <w:spacing w:line="620" w:lineRule="exact"/>
        <w:jc w:val="center"/>
        <w:rPr>
          <w:rFonts w:ascii="宋体" w:hAnsi="宋体"/>
          <w:sz w:val="44"/>
          <w:szCs w:val="44"/>
        </w:rPr>
      </w:pPr>
      <w:r>
        <w:rPr>
          <w:rFonts w:hint="eastAsia" w:ascii="宋体" w:hAnsi="宋体"/>
          <w:sz w:val="44"/>
          <w:szCs w:val="44"/>
          <w:lang w:eastAsia="zh-CN"/>
        </w:rPr>
        <w:t>检察院法警工作日之外加班及执勤津贴</w:t>
      </w:r>
      <w:r>
        <w:rPr>
          <w:rFonts w:hint="eastAsia" w:ascii="宋体" w:hAnsi="宋体"/>
          <w:sz w:val="44"/>
          <w:szCs w:val="44"/>
        </w:rPr>
        <w:t>项目自评报告</w:t>
      </w:r>
    </w:p>
    <w:p w14:paraId="43371BF5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</w:p>
    <w:p w14:paraId="1DE3E905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根据《藁城区区级部门预算项目绩效自评管理办法》（藁财字[2020]23号），遵循“科学性、规范性、客观性和公正性”的原则，对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检察院法警工作日之外加班及执勤津贴</w:t>
      </w:r>
      <w:r>
        <w:rPr>
          <w:rFonts w:hint="eastAsia" w:ascii="仿宋" w:hAnsi="仿宋" w:eastAsia="仿宋"/>
          <w:sz w:val="32"/>
          <w:szCs w:val="32"/>
        </w:rPr>
        <w:t>项目实施了财政支出绩效自评价，形成本评价报告。</w:t>
      </w:r>
    </w:p>
    <w:p w14:paraId="15E0C2CF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</w:p>
    <w:p w14:paraId="053396FD">
      <w:pPr>
        <w:numPr>
          <w:ilvl w:val="0"/>
          <w:numId w:val="1"/>
        </w:numPr>
        <w:adjustRightInd w:val="0"/>
        <w:snapToGrid w:val="0"/>
        <w:spacing w:line="620" w:lineRule="exact"/>
        <w:ind w:firstLine="643" w:firstLineChars="200"/>
        <w:rPr>
          <w:rFonts w:hint="eastAsia"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项目基本情况</w:t>
      </w:r>
    </w:p>
    <w:p w14:paraId="49C9B97D">
      <w:pPr>
        <w:numPr>
          <w:ilvl w:val="0"/>
          <w:numId w:val="0"/>
        </w:numPr>
        <w:adjustRightInd w:val="0"/>
        <w:snapToGrid w:val="0"/>
        <w:spacing w:line="620" w:lineRule="exact"/>
        <w:rPr>
          <w:rFonts w:hint="eastAsia" w:ascii="宋体" w:hAnsi="宋体"/>
          <w:b/>
          <w:sz w:val="32"/>
          <w:szCs w:val="32"/>
        </w:rPr>
      </w:pPr>
    </w:p>
    <w:p w14:paraId="56F1E888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（一）项目概况</w:t>
      </w:r>
    </w:p>
    <w:p w14:paraId="4B37A8FF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藁城检察院为了维护检察工作顺利开展和进行，进一步为社会稳定提供保障，设立了检</w:t>
      </w:r>
      <w:r>
        <w:rPr>
          <w:rFonts w:hint="eastAsia" w:ascii="仿宋" w:hAnsi="仿宋" w:eastAsia="仿宋"/>
          <w:sz w:val="32"/>
          <w:szCs w:val="32"/>
          <w:lang w:eastAsia="zh-CN"/>
        </w:rPr>
        <w:t>察院法警工作日之外加班及执勤津贴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项目。该项目经费总共11.448万元，全部为一般公共预算财政拨款，主要用于组支付我院的检察辅助人员工资。预算支出进度按季度进行，预计每季度支出2.862万元。</w:t>
      </w:r>
    </w:p>
    <w:p w14:paraId="2F965237">
      <w:pPr>
        <w:adjustRightInd w:val="0"/>
        <w:snapToGrid w:val="0"/>
        <w:spacing w:line="6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（二）项目预期绩效目标</w:t>
      </w:r>
    </w:p>
    <w:p w14:paraId="4A68B109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项目预期绩效总目标</w:t>
      </w:r>
      <w:r>
        <w:rPr>
          <w:rFonts w:hint="eastAsia" w:ascii="仿宋" w:hAnsi="仿宋" w:eastAsia="仿宋"/>
          <w:sz w:val="32"/>
          <w:szCs w:val="32"/>
          <w:lang w:eastAsia="zh-CN"/>
        </w:rPr>
        <w:t>为检察工作顺利开展提供检务保障；</w:t>
      </w:r>
      <w:bookmarkStart w:id="0" w:name="_GoBack"/>
      <w:bookmarkEnd w:id="0"/>
    </w:p>
    <w:p w14:paraId="7A6C13F9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阶段性（当年）的绩效目标</w:t>
      </w:r>
      <w:r>
        <w:rPr>
          <w:rFonts w:hint="eastAsia" w:ascii="仿宋" w:hAnsi="仿宋" w:eastAsia="仿宋"/>
          <w:sz w:val="32"/>
          <w:szCs w:val="32"/>
          <w:lang w:eastAsia="zh-CN"/>
        </w:rPr>
        <w:t>是为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2019年度</w:t>
      </w:r>
      <w:r>
        <w:rPr>
          <w:rFonts w:hint="eastAsia" w:ascii="仿宋" w:hAnsi="仿宋" w:eastAsia="仿宋"/>
          <w:sz w:val="32"/>
          <w:szCs w:val="32"/>
          <w:lang w:eastAsia="zh-CN"/>
        </w:rPr>
        <w:t>检察工作顺利开展提供检务保障。</w:t>
      </w:r>
    </w:p>
    <w:p w14:paraId="74DF0CD1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评价</w:t>
      </w:r>
      <w:r>
        <w:rPr>
          <w:rFonts w:hint="eastAsia" w:ascii="仿宋" w:hAnsi="仿宋" w:eastAsia="仿宋"/>
          <w:sz w:val="32"/>
          <w:szCs w:val="32"/>
        </w:rPr>
        <w:t>指标</w:t>
      </w:r>
      <w:r>
        <w:rPr>
          <w:rFonts w:hint="eastAsia" w:ascii="仿宋" w:hAnsi="仿宋" w:eastAsia="仿宋"/>
          <w:sz w:val="32"/>
          <w:szCs w:val="32"/>
          <w:lang w:eastAsia="zh-CN"/>
        </w:rPr>
        <w:t>总体分为产出指标、预算执行率、效益指标、满意度指标四大块内容。</w:t>
      </w:r>
    </w:p>
    <w:p w14:paraId="47B17BD0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</w:p>
    <w:p w14:paraId="73C154B5">
      <w:pPr>
        <w:numPr>
          <w:ilvl w:val="0"/>
          <w:numId w:val="2"/>
        </w:numPr>
        <w:adjustRightInd w:val="0"/>
        <w:snapToGrid w:val="0"/>
        <w:spacing w:line="620" w:lineRule="exact"/>
        <w:ind w:firstLine="643" w:firstLineChars="200"/>
        <w:rPr>
          <w:rFonts w:hint="eastAsia"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自评工作情况</w:t>
      </w:r>
    </w:p>
    <w:p w14:paraId="15EAC6DC">
      <w:pPr>
        <w:numPr>
          <w:ilvl w:val="0"/>
          <w:numId w:val="0"/>
        </w:numPr>
        <w:adjustRightInd w:val="0"/>
        <w:snapToGrid w:val="0"/>
        <w:spacing w:line="620" w:lineRule="exact"/>
        <w:rPr>
          <w:rFonts w:hint="eastAsia" w:ascii="宋体" w:hAnsi="宋体"/>
          <w:b/>
          <w:sz w:val="32"/>
          <w:szCs w:val="32"/>
        </w:rPr>
      </w:pPr>
    </w:p>
    <w:p w14:paraId="68D10C6A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（一）自评的组织工作</w:t>
      </w:r>
    </w:p>
    <w:p w14:paraId="5814B05D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根据文件精神，一是召开专题工作会议，成立了以藁城区检察院党组副书记马云亮为组长，办公室主任郝振中为副组长，出纳张立伟为成员的领导小组，明确各自职责。二是组织相关人员认真学习了《藁城财政局关于开展财政专项资金部门绩效自评价的工作方案》、《藁城区区级部门预算项目绩效自评管理办法》相关文件以及中央﹑省市县区相关政策规定和财务会计制度；三是由工作小组设计评价指标、确定评价方法及评价标准等。</w:t>
      </w:r>
    </w:p>
    <w:p w14:paraId="0A269A99">
      <w:pPr>
        <w:numPr>
          <w:ilvl w:val="0"/>
          <w:numId w:val="0"/>
        </w:num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（二）</w:t>
      </w:r>
      <w:r>
        <w:rPr>
          <w:rFonts w:hint="eastAsia" w:ascii="仿宋" w:hAnsi="仿宋" w:eastAsia="仿宋"/>
          <w:sz w:val="32"/>
          <w:szCs w:val="32"/>
        </w:rPr>
        <w:t>自评的方法和过程</w:t>
      </w:r>
    </w:p>
    <w:p w14:paraId="2EB391F3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严格按照省、市、区有关文件要求，通过审查账目、实地考察验证等方式，认真对照指标体系框架/制定实施方案，对办案业务费项目前期工作进行了全方位自查和自评打分。通过绩效自评，进一步规范财政资金规划管理，强化部门责任意识，提高财政资金使用效率。</w:t>
      </w:r>
    </w:p>
    <w:p w14:paraId="552D5651">
      <w:pPr>
        <w:adjustRightInd w:val="0"/>
        <w:snapToGrid w:val="0"/>
        <w:spacing w:line="6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（三）建立绩效评价指标体系</w:t>
      </w:r>
    </w:p>
    <w:p w14:paraId="555B5E8E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在开展预算自评工作时，针对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检察院的工作实际</w:t>
      </w:r>
      <w:r>
        <w:rPr>
          <w:rFonts w:hint="eastAsia" w:ascii="仿宋" w:hAnsi="仿宋" w:eastAsia="仿宋"/>
          <w:sz w:val="32"/>
          <w:szCs w:val="32"/>
        </w:rPr>
        <w:t>，设计能够体现项目特点绩效评价指标体系。绩效指标权重由各部门根据评价对象实际情况确定，总分设定为100分。原则上一级指标权重统一设置为：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投入指标10分（包含资金</w:t>
      </w:r>
      <w:r>
        <w:rPr>
          <w:rFonts w:hint="eastAsia" w:ascii="仿宋" w:hAnsi="仿宋" w:eastAsia="仿宋"/>
          <w:sz w:val="32"/>
          <w:szCs w:val="32"/>
        </w:rPr>
        <w:t>到位率和到位及时率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-10分）、实施过程指标20分（包含</w:t>
      </w:r>
      <w:r>
        <w:rPr>
          <w:rFonts w:hint="eastAsia" w:ascii="仿宋" w:hAnsi="仿宋" w:eastAsia="仿宋"/>
          <w:sz w:val="32"/>
          <w:szCs w:val="32"/>
        </w:rPr>
        <w:t>业务管理情况分析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-10分、</w:t>
      </w:r>
      <w:r>
        <w:rPr>
          <w:rFonts w:hint="eastAsia" w:ascii="仿宋" w:hAnsi="仿宋" w:eastAsia="仿宋"/>
          <w:sz w:val="32"/>
          <w:szCs w:val="32"/>
        </w:rPr>
        <w:t>预算执行率指标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-</w:t>
      </w:r>
      <w:r>
        <w:rPr>
          <w:rFonts w:hint="eastAsia" w:ascii="仿宋" w:hAnsi="仿宋" w:eastAsia="仿宋"/>
          <w:sz w:val="32"/>
          <w:szCs w:val="32"/>
        </w:rPr>
        <w:t>10分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）、</w:t>
      </w:r>
      <w:r>
        <w:rPr>
          <w:rFonts w:hint="eastAsia" w:ascii="仿宋" w:hAnsi="仿宋" w:eastAsia="仿宋"/>
          <w:sz w:val="32"/>
          <w:szCs w:val="32"/>
        </w:rPr>
        <w:t>产出指标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0分（包含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赔偿金额支付率预期达到100%-10分，赔偿人数预期达到2人-10分，资金支出规范性预期达到100%-10分</w:t>
      </w:r>
      <w:r>
        <w:rPr>
          <w:rFonts w:hint="eastAsia" w:ascii="仿宋" w:hAnsi="仿宋" w:eastAsia="仿宋"/>
          <w:sz w:val="32"/>
          <w:szCs w:val="32"/>
        </w:rPr>
        <w:t>）、效益指标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30</w:t>
      </w:r>
      <w:r>
        <w:rPr>
          <w:rFonts w:hint="eastAsia" w:ascii="仿宋" w:hAnsi="仿宋" w:eastAsia="仿宋"/>
          <w:sz w:val="32"/>
          <w:szCs w:val="32"/>
        </w:rPr>
        <w:t>分（包含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社会效益指标预计持续维护社会稳定和公平正义-30分</w:t>
      </w:r>
      <w:r>
        <w:rPr>
          <w:rFonts w:hint="eastAsia" w:ascii="仿宋" w:hAnsi="仿宋" w:eastAsia="仿宋"/>
          <w:sz w:val="32"/>
          <w:szCs w:val="32"/>
        </w:rPr>
        <w:t>）、满意度指标10分</w:t>
      </w: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包含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服务对象满意度预期达到90%以上-10分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。</w:t>
      </w:r>
    </w:p>
    <w:p w14:paraId="2AA51E16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highlight w:val="none"/>
          <w:lang w:eastAsia="zh-CN"/>
        </w:rPr>
      </w:pPr>
    </w:p>
    <w:p w14:paraId="3F8BEBF7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</w:p>
    <w:p w14:paraId="5F4B8500">
      <w:pPr>
        <w:numPr>
          <w:ilvl w:val="0"/>
          <w:numId w:val="3"/>
        </w:numPr>
        <w:adjustRightInd w:val="0"/>
        <w:snapToGrid w:val="0"/>
        <w:spacing w:line="620" w:lineRule="exact"/>
        <w:ind w:firstLine="643" w:firstLineChars="200"/>
        <w:rPr>
          <w:rFonts w:hint="eastAsia"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项目执行及绩效实现情况</w:t>
      </w:r>
    </w:p>
    <w:p w14:paraId="25BA17D5">
      <w:pPr>
        <w:numPr>
          <w:ilvl w:val="0"/>
          <w:numId w:val="0"/>
        </w:numPr>
        <w:adjustRightInd w:val="0"/>
        <w:snapToGrid w:val="0"/>
        <w:spacing w:line="620" w:lineRule="exact"/>
        <w:rPr>
          <w:rFonts w:hint="eastAsia" w:ascii="宋体" w:hAnsi="宋体"/>
          <w:b/>
          <w:sz w:val="32"/>
          <w:szCs w:val="32"/>
        </w:rPr>
      </w:pPr>
    </w:p>
    <w:p w14:paraId="1651FB9D">
      <w:pPr>
        <w:numPr>
          <w:ilvl w:val="0"/>
          <w:numId w:val="4"/>
        </w:num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项目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投入</w:t>
      </w:r>
    </w:p>
    <w:p w14:paraId="7012E024">
      <w:pPr>
        <w:numPr>
          <w:ilvl w:val="0"/>
          <w:numId w:val="5"/>
        </w:numPr>
        <w:adjustRightInd w:val="0"/>
        <w:snapToGrid w:val="0"/>
        <w:spacing w:line="620" w:lineRule="exact"/>
        <w:ind w:firstLine="960" w:firstLineChars="3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资金落实情况分析。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严格按照预算项目绩效目标要求，按时间节点落实</w:t>
      </w:r>
      <w:r>
        <w:rPr>
          <w:rFonts w:hint="eastAsia" w:ascii="仿宋" w:hAnsi="仿宋" w:eastAsia="仿宋"/>
          <w:sz w:val="32"/>
          <w:szCs w:val="32"/>
        </w:rPr>
        <w:t>资金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保证资金</w:t>
      </w:r>
      <w:r>
        <w:rPr>
          <w:rFonts w:hint="eastAsia" w:ascii="仿宋" w:hAnsi="仿宋" w:eastAsia="仿宋"/>
          <w:sz w:val="32"/>
          <w:szCs w:val="32"/>
        </w:rPr>
        <w:t>到位率和到位及时率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达到100%，分值10分。</w:t>
      </w:r>
    </w:p>
    <w:p w14:paraId="09BE6B99">
      <w:pPr>
        <w:numPr>
          <w:ilvl w:val="0"/>
          <w:numId w:val="4"/>
        </w:numPr>
        <w:adjustRightInd w:val="0"/>
        <w:snapToGrid w:val="0"/>
        <w:spacing w:line="620" w:lineRule="exact"/>
        <w:ind w:left="0" w:leftChars="0"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项目实施过程</w:t>
      </w:r>
    </w:p>
    <w:p w14:paraId="58FCA5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1、业务管理情况分析。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我单位组织相关人员对项目实施过程全程管理，有效保证了</w:t>
      </w:r>
      <w:r>
        <w:rPr>
          <w:rFonts w:hint="eastAsia" w:ascii="仿宋" w:hAnsi="仿宋" w:eastAsia="仿宋"/>
          <w:sz w:val="32"/>
          <w:szCs w:val="32"/>
        </w:rPr>
        <w:t>管理制度健全性、制度执行有效性和项目质量可控性</w:t>
      </w:r>
      <w:r>
        <w:rPr>
          <w:rFonts w:hint="eastAsia" w:ascii="仿宋" w:hAnsi="仿宋" w:eastAsia="仿宋"/>
          <w:sz w:val="32"/>
          <w:szCs w:val="32"/>
          <w:lang w:eastAsia="zh-CN"/>
        </w:rPr>
        <w:t>，分值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 w14:paraId="19DC9BE6">
      <w:pPr>
        <w:ind w:firstLine="640" w:firstLineChars="200"/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2、财务管理。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石家庄市藁城区人民检察院在项目实施过程中，严格遵守财务制度及财务规范。相关资金使用账目清晰、资金票据及相关附件齐全，资金使用合规、可控。分值10 分。</w:t>
      </w:r>
    </w:p>
    <w:p w14:paraId="18EC0DAA">
      <w:pPr>
        <w:numPr>
          <w:ilvl w:val="0"/>
          <w:numId w:val="4"/>
        </w:numPr>
        <w:adjustRightInd w:val="0"/>
        <w:snapToGrid w:val="0"/>
        <w:spacing w:line="620" w:lineRule="exact"/>
        <w:ind w:left="0" w:leftChars="0"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项目</w:t>
      </w:r>
      <w:r>
        <w:rPr>
          <w:rFonts w:hint="eastAsia" w:ascii="仿宋" w:hAnsi="仿宋" w:eastAsia="仿宋"/>
          <w:sz w:val="32"/>
          <w:szCs w:val="32"/>
        </w:rPr>
        <w:t>产出</w:t>
      </w:r>
    </w:p>
    <w:p w14:paraId="58D7698B">
      <w:pPr>
        <w:numPr>
          <w:ilvl w:val="0"/>
          <w:numId w:val="0"/>
        </w:num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1.法警发放津贴补贴人数预期达到6人。</w:t>
      </w:r>
    </w:p>
    <w:p w14:paraId="04F9520D">
      <w:pPr>
        <w:numPr>
          <w:ilvl w:val="0"/>
          <w:numId w:val="0"/>
        </w:numPr>
        <w:adjustRightInd w:val="0"/>
        <w:snapToGrid w:val="0"/>
        <w:spacing w:line="620" w:lineRule="exact"/>
        <w:ind w:firstLine="640" w:firstLineChars="200"/>
        <w:rPr>
          <w:rFonts w:hint="default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2.每月法警补贴津贴发放及时率预期达到100%。</w:t>
      </w:r>
    </w:p>
    <w:p w14:paraId="41BDD989">
      <w:pPr>
        <w:numPr>
          <w:ilvl w:val="0"/>
          <w:numId w:val="0"/>
        </w:numPr>
        <w:adjustRightInd w:val="0"/>
        <w:snapToGrid w:val="0"/>
        <w:spacing w:line="620" w:lineRule="exact"/>
        <w:ind w:firstLine="640" w:firstLineChars="200"/>
        <w:rPr>
          <w:rFonts w:hint="default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3.资金支出规范性实际支出达到100%。</w:t>
      </w:r>
    </w:p>
    <w:p w14:paraId="6959FF9C">
      <w:pPr>
        <w:adjustRightInd w:val="0"/>
        <w:snapToGrid w:val="0"/>
        <w:spacing w:line="620" w:lineRule="exact"/>
        <w:ind w:firstLine="640" w:firstLineChars="200"/>
        <w:rPr>
          <w:rFonts w:hint="default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对项目的</w:t>
      </w:r>
      <w:r>
        <w:rPr>
          <w:rFonts w:hint="eastAsia" w:ascii="仿宋" w:hAnsi="仿宋" w:eastAsia="仿宋"/>
          <w:sz w:val="32"/>
          <w:szCs w:val="32"/>
          <w:lang w:eastAsia="zh-CN"/>
        </w:rPr>
        <w:t>该模块指标的实际完成</w:t>
      </w:r>
      <w:r>
        <w:rPr>
          <w:rFonts w:hint="eastAsia" w:ascii="仿宋" w:hAnsi="仿宋" w:eastAsia="仿宋"/>
          <w:sz w:val="32"/>
          <w:szCs w:val="32"/>
        </w:rPr>
        <w:t>情况进行分析后，根据指标体系评分标准计算分值</w:t>
      </w:r>
      <w:r>
        <w:rPr>
          <w:rFonts w:hint="eastAsia" w:ascii="仿宋" w:hAnsi="仿宋" w:eastAsia="仿宋"/>
          <w:sz w:val="32"/>
          <w:szCs w:val="32"/>
          <w:lang w:eastAsia="zh-CN"/>
        </w:rPr>
        <w:t>，得分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30分。</w:t>
      </w:r>
    </w:p>
    <w:p w14:paraId="4D1E9C92">
      <w:pPr>
        <w:numPr>
          <w:ilvl w:val="0"/>
          <w:numId w:val="0"/>
        </w:numPr>
        <w:adjustRightInd w:val="0"/>
        <w:snapToGrid w:val="0"/>
        <w:spacing w:line="620" w:lineRule="exact"/>
        <w:ind w:leftChars="200" w:firstLine="320" w:firstLineChars="1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四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项目效果</w:t>
      </w:r>
    </w:p>
    <w:p w14:paraId="58549323">
      <w:pPr>
        <w:numPr>
          <w:ilvl w:val="0"/>
          <w:numId w:val="0"/>
        </w:num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1.社会效益指标实际实现持续维护社会稳定和公平正义的效果。</w:t>
      </w:r>
    </w:p>
    <w:p w14:paraId="4DAB18ED">
      <w:pPr>
        <w:numPr>
          <w:ilvl w:val="0"/>
          <w:numId w:val="0"/>
        </w:num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2.服务对象满意度超过90%。</w:t>
      </w:r>
    </w:p>
    <w:p w14:paraId="44D82BE9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对项目的</w:t>
      </w:r>
      <w:r>
        <w:rPr>
          <w:rFonts w:hint="eastAsia" w:ascii="仿宋" w:hAnsi="仿宋" w:eastAsia="仿宋"/>
          <w:sz w:val="32"/>
          <w:szCs w:val="32"/>
          <w:lang w:eastAsia="zh-CN"/>
        </w:rPr>
        <w:t>该模块指标的实际完成</w:t>
      </w:r>
      <w:r>
        <w:rPr>
          <w:rFonts w:hint="eastAsia" w:ascii="仿宋" w:hAnsi="仿宋" w:eastAsia="仿宋"/>
          <w:sz w:val="32"/>
          <w:szCs w:val="32"/>
        </w:rPr>
        <w:t>情况进行分析后，根据指标体系评分标准计算分值</w:t>
      </w:r>
      <w:r>
        <w:rPr>
          <w:rFonts w:hint="eastAsia" w:ascii="仿宋" w:hAnsi="仿宋" w:eastAsia="仿宋"/>
          <w:sz w:val="32"/>
          <w:szCs w:val="32"/>
          <w:lang w:eastAsia="zh-CN"/>
        </w:rPr>
        <w:t>，得分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35分。</w:t>
      </w:r>
    </w:p>
    <w:p w14:paraId="3D4283C4">
      <w:pPr>
        <w:adjustRightInd w:val="0"/>
        <w:snapToGrid w:val="0"/>
        <w:spacing w:line="62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总分95分。</w:t>
      </w:r>
    </w:p>
    <w:p w14:paraId="5ADB40D8">
      <w:pPr>
        <w:numPr>
          <w:ilvl w:val="0"/>
          <w:numId w:val="0"/>
        </w:numPr>
        <w:adjustRightInd w:val="0"/>
        <w:snapToGrid w:val="0"/>
        <w:spacing w:line="620" w:lineRule="exact"/>
        <w:rPr>
          <w:rFonts w:hint="default" w:ascii="仿宋" w:hAnsi="仿宋" w:eastAsia="仿宋"/>
          <w:sz w:val="32"/>
          <w:szCs w:val="32"/>
          <w:highlight w:val="none"/>
          <w:lang w:val="en-US" w:eastAsia="zh-CN"/>
        </w:rPr>
      </w:pPr>
    </w:p>
    <w:p w14:paraId="38DCDFD4">
      <w:pPr>
        <w:numPr>
          <w:ilvl w:val="0"/>
          <w:numId w:val="6"/>
        </w:numPr>
        <w:adjustRightInd w:val="0"/>
        <w:snapToGrid w:val="0"/>
        <w:spacing w:line="620" w:lineRule="exact"/>
        <w:ind w:firstLine="643" w:firstLineChars="200"/>
        <w:rPr>
          <w:rFonts w:hint="eastAsia"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项目综合评价结论和评价等级</w:t>
      </w:r>
    </w:p>
    <w:p w14:paraId="41934A4D">
      <w:pPr>
        <w:numPr>
          <w:ilvl w:val="0"/>
          <w:numId w:val="0"/>
        </w:numPr>
        <w:adjustRightInd w:val="0"/>
        <w:snapToGrid w:val="0"/>
        <w:spacing w:line="620" w:lineRule="exact"/>
        <w:rPr>
          <w:rFonts w:hint="eastAsia" w:ascii="宋体" w:hAnsi="宋体"/>
          <w:b/>
          <w:sz w:val="32"/>
          <w:szCs w:val="32"/>
        </w:rPr>
      </w:pPr>
    </w:p>
    <w:p w14:paraId="4254E71B">
      <w:pPr>
        <w:adjustRightInd w:val="0"/>
        <w:snapToGrid w:val="0"/>
        <w:spacing w:line="620" w:lineRule="exact"/>
        <w:ind w:firstLine="640" w:firstLineChars="200"/>
        <w:rPr>
          <w:rFonts w:hint="default" w:ascii="宋体" w:hAnsi="宋体" w:eastAsia="宋体"/>
          <w:b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我院预算项目资金的编制、管理和使用，严格执行“收支两条线”管理，按照预算资金管理办法“量入为出和专款专用的原则”，根据项目进度和时间线，及时拨付项目预算资金，有效实现了预算项目目标，也产生了良好的社会效益。</w:t>
      </w:r>
    </w:p>
    <w:p w14:paraId="07A82182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根据项目执行情况和项目绩效情况，该项目指标体系得分95分，综合评价结论和项目综合绩效评价等级为优秀。</w:t>
      </w:r>
    </w:p>
    <w:p w14:paraId="0AC62B3A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</w:p>
    <w:p w14:paraId="71BEAAA2">
      <w:pPr>
        <w:numPr>
          <w:ilvl w:val="0"/>
          <w:numId w:val="6"/>
        </w:numPr>
        <w:adjustRightInd w:val="0"/>
        <w:snapToGrid w:val="0"/>
        <w:spacing w:line="620" w:lineRule="exact"/>
        <w:ind w:left="0" w:leftChars="0" w:firstLine="643" w:firstLineChars="200"/>
        <w:rPr>
          <w:rFonts w:hint="eastAsia"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存在的问题及改进措施</w:t>
      </w:r>
    </w:p>
    <w:p w14:paraId="77150290">
      <w:pPr>
        <w:numPr>
          <w:ilvl w:val="0"/>
          <w:numId w:val="0"/>
        </w:numPr>
        <w:adjustRightInd w:val="0"/>
        <w:snapToGrid w:val="0"/>
        <w:spacing w:line="620" w:lineRule="exact"/>
        <w:ind w:leftChars="200"/>
        <w:rPr>
          <w:rFonts w:hint="eastAsia" w:ascii="宋体" w:hAnsi="宋体"/>
          <w:b/>
          <w:sz w:val="32"/>
          <w:szCs w:val="32"/>
        </w:rPr>
      </w:pPr>
    </w:p>
    <w:p w14:paraId="3C0E1D6D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（一）项目存在的主要问题</w:t>
      </w:r>
    </w:p>
    <w:p w14:paraId="717D1355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对编入预算的检</w:t>
      </w:r>
      <w:r>
        <w:rPr>
          <w:rFonts w:hint="eastAsia" w:ascii="仿宋" w:hAnsi="仿宋" w:eastAsia="仿宋"/>
          <w:sz w:val="32"/>
          <w:szCs w:val="32"/>
          <w:lang w:eastAsia="zh-CN"/>
        </w:rPr>
        <w:t>察院法警工作日之外加班及执勤津贴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项目的各项支出进行分析评价，未发现有重大问题。</w:t>
      </w:r>
    </w:p>
    <w:p w14:paraId="16EB88EE">
      <w:pPr>
        <w:numPr>
          <w:ilvl w:val="0"/>
          <w:numId w:val="7"/>
        </w:num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针对问题提出具体的改进措施或建议</w:t>
      </w:r>
    </w:p>
    <w:p w14:paraId="455CE2CA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为了使未来年度的预算绩效取得更好的评价，我院将严格按照相关文件精神，规范执行行为，落实执行进度，使得我们的专项经费取得最优的效益。</w:t>
      </w:r>
    </w:p>
    <w:p w14:paraId="590E7D8D">
      <w:pPr>
        <w:adjustRightInd w:val="0"/>
        <w:snapToGrid w:val="0"/>
        <w:spacing w:line="62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</w:p>
    <w:p w14:paraId="1173DB65">
      <w:pPr>
        <w:numPr>
          <w:ilvl w:val="0"/>
          <w:numId w:val="6"/>
        </w:numPr>
        <w:adjustRightInd w:val="0"/>
        <w:spacing w:line="360" w:lineRule="auto"/>
        <w:ind w:left="0" w:leftChars="0" w:firstLine="643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评价工作组人员名单及签字</w:t>
      </w:r>
      <w:r>
        <w:rPr>
          <w:rFonts w:hint="eastAsia" w:ascii="仿宋" w:hAnsi="仿宋" w:eastAsia="仿宋"/>
          <w:sz w:val="32"/>
          <w:szCs w:val="32"/>
        </w:rPr>
        <w:t>（姓名、工作单位、职务、职称）</w:t>
      </w:r>
    </w:p>
    <w:p w14:paraId="4F90A58C">
      <w:pPr>
        <w:numPr>
          <w:ilvl w:val="0"/>
          <w:numId w:val="0"/>
        </w:numPr>
        <w:adjustRightInd w:val="0"/>
        <w:spacing w:line="360" w:lineRule="auto"/>
        <w:ind w:leftChars="200" w:firstLine="320" w:firstLineChars="1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工作单位            职务         姓名     签字</w:t>
      </w:r>
    </w:p>
    <w:p w14:paraId="621545C4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藁城区人民检察院  党组副书记     马云亮</w:t>
      </w:r>
    </w:p>
    <w:p w14:paraId="0C39505E">
      <w:pPr>
        <w:adjustRightInd w:val="0"/>
        <w:snapToGrid w:val="0"/>
        <w:spacing w:line="62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藁城区人民检察院  办公室主任     郝振中</w:t>
      </w:r>
    </w:p>
    <w:p w14:paraId="5AD384CE">
      <w:pPr>
        <w:adjustRightInd w:val="0"/>
        <w:snapToGrid w:val="0"/>
        <w:spacing w:line="62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藁城区人民检察院  办公室出纳     张立伟</w:t>
      </w:r>
    </w:p>
    <w:p w14:paraId="5C3AE87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517DDE5"/>
    <w:multiLevelType w:val="singleLevel"/>
    <w:tmpl w:val="C517DDE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C7A5E837"/>
    <w:multiLevelType w:val="singleLevel"/>
    <w:tmpl w:val="C7A5E837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ECC6191D"/>
    <w:multiLevelType w:val="singleLevel"/>
    <w:tmpl w:val="ECC6191D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1BC20CEA"/>
    <w:multiLevelType w:val="singleLevel"/>
    <w:tmpl w:val="1BC20CEA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4">
    <w:nsid w:val="1FA79F38"/>
    <w:multiLevelType w:val="singleLevel"/>
    <w:tmpl w:val="1FA79F38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5">
    <w:nsid w:val="46645349"/>
    <w:multiLevelType w:val="singleLevel"/>
    <w:tmpl w:val="46645349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6">
    <w:nsid w:val="7C424003"/>
    <w:multiLevelType w:val="singleLevel"/>
    <w:tmpl w:val="7C424003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2"/>
  </w:num>
  <w:num w:numId="5">
    <w:abstractNumId w:val="6"/>
  </w:num>
  <w:num w:numId="6">
    <w:abstractNumId w:val="1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MzZmIyODEyYmQwZGE2MGU2MDg2NjQ2ZDRlZTY2ODcifQ=="/>
  </w:docVars>
  <w:rsids>
    <w:rsidRoot w:val="19F66191"/>
    <w:rsid w:val="04024B7F"/>
    <w:rsid w:val="0975241B"/>
    <w:rsid w:val="0DB530BA"/>
    <w:rsid w:val="14EB2725"/>
    <w:rsid w:val="19F66191"/>
    <w:rsid w:val="1A3E6650"/>
    <w:rsid w:val="1D2879F2"/>
    <w:rsid w:val="4A5C4C9E"/>
    <w:rsid w:val="4F806AE9"/>
    <w:rsid w:val="514C46B5"/>
    <w:rsid w:val="565D1A3B"/>
    <w:rsid w:val="623866C3"/>
    <w:rsid w:val="64246E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1785</Words>
  <Characters>1860</Characters>
  <Lines>0</Lines>
  <Paragraphs>0</Paragraphs>
  <TotalTime>2</TotalTime>
  <ScaleCrop>false</ScaleCrop>
  <LinksUpToDate>false</LinksUpToDate>
  <CharactersWithSpaces>1908</CharactersWithSpaces>
  <Application>WPS Office_12.1.0.17857_F1E327BC-269C-435d-A152-05C5408002CA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2020-07-29T07:47:00Z</dcterms:created>
  <dc:creator>Administrator</dc:creator>
  <cp:lastModifiedBy> </cp:lastModifiedBy>
  <cp:lastPrinted>2020-07-29T09:49:00Z</cp:lastPrinted>
  <dcterms:modified xsi:type="dcterms:W3CDTF">2024-09-12T02:03:28Z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2052-12.1.0.17857</vt:lpwstr>
  </property>
  <property fmtid="{D5CDD505-2E9C-101B-9397-08002B2CF9AE}" pid="3" name="ICV">
    <vt:lpwstr>07A187AF265044E49048E934F2C01194_12</vt:lpwstr>
  </property>
</Properties>
</file>