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131C71">
      <w:pPr>
        <w:adjustRightInd w:val="0"/>
        <w:snapToGrid w:val="0"/>
        <w:spacing w:line="620" w:lineRule="exact"/>
        <w:rPr>
          <w:rFonts w:ascii="宋体" w:hAnsi="宋体"/>
          <w:sz w:val="44"/>
          <w:szCs w:val="44"/>
        </w:rPr>
      </w:pPr>
      <w:r>
        <w:rPr>
          <w:rFonts w:hint="eastAsia" w:ascii="仿宋" w:hAnsi="仿宋" w:eastAsia="仿宋"/>
          <w:sz w:val="32"/>
          <w:szCs w:val="32"/>
        </w:rPr>
        <w:t>附件2</w:t>
      </w:r>
    </w:p>
    <w:p w14:paraId="5D671B62">
      <w:pPr>
        <w:adjustRightInd w:val="0"/>
        <w:snapToGrid w:val="0"/>
        <w:spacing w:line="620" w:lineRule="exact"/>
        <w:jc w:val="center"/>
        <w:rPr>
          <w:rFonts w:ascii="宋体" w:hAnsi="宋体"/>
          <w:sz w:val="44"/>
          <w:szCs w:val="44"/>
        </w:rPr>
      </w:pPr>
      <w:r>
        <w:rPr>
          <w:rFonts w:hint="eastAsia" w:ascii="宋体" w:hAnsi="宋体"/>
          <w:sz w:val="44"/>
          <w:szCs w:val="44"/>
          <w:lang w:eastAsia="zh-CN"/>
        </w:rPr>
        <w:t>办案业务费</w:t>
      </w:r>
      <w:r>
        <w:rPr>
          <w:rFonts w:hint="eastAsia" w:ascii="宋体" w:hAnsi="宋体"/>
          <w:sz w:val="44"/>
          <w:szCs w:val="44"/>
        </w:rPr>
        <w:t>项目自评报告</w:t>
      </w:r>
    </w:p>
    <w:p w14:paraId="66884EC2">
      <w:pPr>
        <w:adjustRightInd w:val="0"/>
        <w:snapToGrid w:val="0"/>
        <w:spacing w:line="620" w:lineRule="exact"/>
        <w:ind w:firstLine="640" w:firstLineChars="200"/>
        <w:rPr>
          <w:rFonts w:hint="eastAsia" w:ascii="仿宋" w:hAnsi="仿宋" w:eastAsia="仿宋"/>
          <w:sz w:val="32"/>
          <w:szCs w:val="32"/>
        </w:rPr>
      </w:pPr>
    </w:p>
    <w:p w14:paraId="4D85C0A7">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根据《藁城区区级部门预算项目绩效自评管理办法》（藁财字[2020]23号），遵循“科学性、规范性、客观性和公正性”的原则，对</w:t>
      </w:r>
      <w:r>
        <w:rPr>
          <w:rFonts w:hint="eastAsia" w:ascii="仿宋" w:hAnsi="仿宋" w:eastAsia="仿宋"/>
          <w:sz w:val="32"/>
          <w:szCs w:val="32"/>
          <w:lang w:eastAsia="zh-CN"/>
        </w:rPr>
        <w:t>办案业务费</w:t>
      </w:r>
      <w:r>
        <w:rPr>
          <w:rFonts w:hint="eastAsia" w:ascii="仿宋" w:hAnsi="仿宋" w:eastAsia="仿宋"/>
          <w:sz w:val="32"/>
          <w:szCs w:val="32"/>
        </w:rPr>
        <w:t>项目实施了财政支出绩效自评价，形成本评价报告。</w:t>
      </w:r>
    </w:p>
    <w:p w14:paraId="4DF4B88C">
      <w:pPr>
        <w:adjustRightInd w:val="0"/>
        <w:snapToGrid w:val="0"/>
        <w:spacing w:line="620" w:lineRule="exact"/>
        <w:ind w:firstLine="640" w:firstLineChars="200"/>
        <w:rPr>
          <w:rFonts w:hint="eastAsia" w:ascii="仿宋" w:hAnsi="仿宋" w:eastAsia="仿宋"/>
          <w:sz w:val="32"/>
          <w:szCs w:val="32"/>
        </w:rPr>
      </w:pPr>
    </w:p>
    <w:p w14:paraId="20C8BB69">
      <w:pPr>
        <w:numPr>
          <w:ilvl w:val="0"/>
          <w:numId w:val="1"/>
        </w:numPr>
        <w:adjustRightInd w:val="0"/>
        <w:snapToGrid w:val="0"/>
        <w:spacing w:line="620" w:lineRule="exact"/>
        <w:ind w:firstLine="643" w:firstLineChars="200"/>
        <w:rPr>
          <w:rFonts w:hint="eastAsia" w:ascii="宋体" w:hAnsi="宋体"/>
          <w:b/>
          <w:sz w:val="32"/>
          <w:szCs w:val="32"/>
        </w:rPr>
      </w:pPr>
      <w:r>
        <w:rPr>
          <w:rFonts w:hint="eastAsia" w:ascii="宋体" w:hAnsi="宋体"/>
          <w:b/>
          <w:sz w:val="32"/>
          <w:szCs w:val="32"/>
        </w:rPr>
        <w:t>项目基本情况</w:t>
      </w:r>
    </w:p>
    <w:p w14:paraId="0E48F7E0">
      <w:pPr>
        <w:numPr>
          <w:ilvl w:val="0"/>
          <w:numId w:val="0"/>
        </w:numPr>
        <w:adjustRightInd w:val="0"/>
        <w:snapToGrid w:val="0"/>
        <w:spacing w:line="620" w:lineRule="exact"/>
        <w:rPr>
          <w:rFonts w:hint="eastAsia" w:ascii="宋体" w:hAnsi="宋体"/>
          <w:b/>
          <w:sz w:val="32"/>
          <w:szCs w:val="32"/>
        </w:rPr>
      </w:pPr>
    </w:p>
    <w:p w14:paraId="034A6DF0">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（一）项目概况</w:t>
      </w:r>
    </w:p>
    <w:p w14:paraId="0D7EFD9F">
      <w:p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藁城检察院为了维护检察工作顺利开展和进行，进一步为社会稳定提供保障，设立了办案业务费项目。该项目经费总共180万元，全部为一般公共预算财政拨款，主要用于组织指导全院人员教育培训工作，对检查装备建设的维护和基础设施建设的维护以及日常检务工作的其他支出。预算支出进度按季度进行，预计每季度支出45万元。</w:t>
      </w:r>
    </w:p>
    <w:p w14:paraId="75C91369">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（二）项目预期绩效目标</w:t>
      </w:r>
    </w:p>
    <w:p w14:paraId="7672AAB0">
      <w:pPr>
        <w:adjustRightInd w:val="0"/>
        <w:snapToGrid w:val="0"/>
        <w:spacing w:line="62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项目预期绩效总目标</w:t>
      </w:r>
      <w:r>
        <w:rPr>
          <w:rFonts w:hint="eastAsia" w:ascii="仿宋" w:hAnsi="仿宋" w:eastAsia="仿宋"/>
          <w:sz w:val="32"/>
          <w:szCs w:val="32"/>
          <w:lang w:eastAsia="zh-CN"/>
        </w:rPr>
        <w:t>为检察工作顺利开展提供检务保障；</w:t>
      </w:r>
      <w:bookmarkStart w:id="0" w:name="_GoBack"/>
      <w:bookmarkEnd w:id="0"/>
    </w:p>
    <w:p w14:paraId="594B3AEE">
      <w:pPr>
        <w:adjustRightInd w:val="0"/>
        <w:snapToGrid w:val="0"/>
        <w:spacing w:line="620" w:lineRule="exact"/>
        <w:ind w:firstLine="640" w:firstLineChars="200"/>
        <w:rPr>
          <w:rFonts w:hint="eastAsia" w:ascii="仿宋" w:hAnsi="仿宋" w:eastAsia="仿宋"/>
          <w:sz w:val="32"/>
          <w:szCs w:val="32"/>
          <w:lang w:eastAsia="zh-CN"/>
        </w:rPr>
      </w:pPr>
      <w:r>
        <w:rPr>
          <w:rFonts w:hint="eastAsia" w:ascii="仿宋" w:hAnsi="仿宋" w:eastAsia="仿宋"/>
          <w:sz w:val="32"/>
          <w:szCs w:val="32"/>
        </w:rPr>
        <w:t>阶段性（当年）的绩效目标</w:t>
      </w:r>
      <w:r>
        <w:rPr>
          <w:rFonts w:hint="eastAsia" w:ascii="仿宋" w:hAnsi="仿宋" w:eastAsia="仿宋"/>
          <w:sz w:val="32"/>
          <w:szCs w:val="32"/>
          <w:lang w:eastAsia="zh-CN"/>
        </w:rPr>
        <w:t>是为</w:t>
      </w:r>
      <w:r>
        <w:rPr>
          <w:rFonts w:hint="eastAsia" w:ascii="仿宋" w:hAnsi="仿宋" w:eastAsia="仿宋"/>
          <w:sz w:val="32"/>
          <w:szCs w:val="32"/>
          <w:lang w:val="en-US" w:eastAsia="zh-CN"/>
        </w:rPr>
        <w:t>2019年度</w:t>
      </w:r>
      <w:r>
        <w:rPr>
          <w:rFonts w:hint="eastAsia" w:ascii="仿宋" w:hAnsi="仿宋" w:eastAsia="仿宋"/>
          <w:sz w:val="32"/>
          <w:szCs w:val="32"/>
          <w:lang w:eastAsia="zh-CN"/>
        </w:rPr>
        <w:t>检察工作顺利开展提供检务保障。</w:t>
      </w:r>
    </w:p>
    <w:p w14:paraId="3B090B47">
      <w:pPr>
        <w:adjustRightInd w:val="0"/>
        <w:snapToGrid w:val="0"/>
        <w:spacing w:line="62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评价</w:t>
      </w:r>
      <w:r>
        <w:rPr>
          <w:rFonts w:hint="eastAsia" w:ascii="仿宋" w:hAnsi="仿宋" w:eastAsia="仿宋"/>
          <w:sz w:val="32"/>
          <w:szCs w:val="32"/>
        </w:rPr>
        <w:t>指标</w:t>
      </w:r>
      <w:r>
        <w:rPr>
          <w:rFonts w:hint="eastAsia" w:ascii="仿宋" w:hAnsi="仿宋" w:eastAsia="仿宋"/>
          <w:sz w:val="32"/>
          <w:szCs w:val="32"/>
          <w:lang w:eastAsia="zh-CN"/>
        </w:rPr>
        <w:t>总体分为产出指标、预算执行率、效益指标、满意度指标四大块内容。</w:t>
      </w:r>
    </w:p>
    <w:p w14:paraId="540D99F9">
      <w:pPr>
        <w:adjustRightInd w:val="0"/>
        <w:snapToGrid w:val="0"/>
        <w:spacing w:line="620" w:lineRule="exact"/>
        <w:ind w:firstLine="640" w:firstLineChars="200"/>
        <w:rPr>
          <w:rFonts w:hint="eastAsia" w:ascii="仿宋" w:hAnsi="仿宋" w:eastAsia="仿宋"/>
          <w:sz w:val="32"/>
          <w:szCs w:val="32"/>
          <w:lang w:eastAsia="zh-CN"/>
        </w:rPr>
      </w:pPr>
    </w:p>
    <w:p w14:paraId="63863EA0">
      <w:pPr>
        <w:numPr>
          <w:ilvl w:val="0"/>
          <w:numId w:val="2"/>
        </w:numPr>
        <w:adjustRightInd w:val="0"/>
        <w:snapToGrid w:val="0"/>
        <w:spacing w:line="620" w:lineRule="exact"/>
        <w:ind w:firstLine="643" w:firstLineChars="200"/>
        <w:rPr>
          <w:rFonts w:hint="eastAsia" w:ascii="宋体" w:hAnsi="宋体"/>
          <w:b/>
          <w:sz w:val="32"/>
          <w:szCs w:val="32"/>
        </w:rPr>
      </w:pPr>
      <w:r>
        <w:rPr>
          <w:rFonts w:hint="eastAsia" w:ascii="宋体" w:hAnsi="宋体"/>
          <w:b/>
          <w:sz w:val="32"/>
          <w:szCs w:val="32"/>
        </w:rPr>
        <w:t>自评工作情况</w:t>
      </w:r>
    </w:p>
    <w:p w14:paraId="3785618D">
      <w:pPr>
        <w:numPr>
          <w:ilvl w:val="0"/>
          <w:numId w:val="0"/>
        </w:numPr>
        <w:adjustRightInd w:val="0"/>
        <w:snapToGrid w:val="0"/>
        <w:spacing w:line="620" w:lineRule="exact"/>
        <w:rPr>
          <w:rFonts w:hint="eastAsia" w:ascii="宋体" w:hAnsi="宋体"/>
          <w:b/>
          <w:sz w:val="32"/>
          <w:szCs w:val="32"/>
        </w:rPr>
      </w:pPr>
    </w:p>
    <w:p w14:paraId="6807DF7E">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（一）自评的组织工作</w:t>
      </w:r>
    </w:p>
    <w:p w14:paraId="7EA8AB05">
      <w:p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根据文件精神，一是召开专题工作会议，成立了以藁城区检察院党组副书记马云亮为组长，办公室主任郝振中为副组长，出纳张立伟为成员的领导小组，明确各自职责。二是组织相关人员认真学习了《藁城财政局关于开展财政专项资金部门绩效自评价的工作方案》、《藁城区区级部门预算项目绩效自评管理办法》相关文件以及中央﹑省市县区相关政策规定和财务会计制度；三是由工作小组设计评价指标、确定评价方法及评价标准等。</w:t>
      </w:r>
    </w:p>
    <w:p w14:paraId="57764CFB">
      <w:pPr>
        <w:numPr>
          <w:ilvl w:val="0"/>
          <w:numId w:val="0"/>
        </w:num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（二）</w:t>
      </w:r>
      <w:r>
        <w:rPr>
          <w:rFonts w:hint="eastAsia" w:ascii="仿宋" w:hAnsi="仿宋" w:eastAsia="仿宋"/>
          <w:sz w:val="32"/>
          <w:szCs w:val="32"/>
        </w:rPr>
        <w:t>自评的方法和过程</w:t>
      </w:r>
    </w:p>
    <w:p w14:paraId="04DFD2EF">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严格按照省、市、区有关文件要求，通过审查账目、实地考察验证等方式，认真对照指标体系框架/制定实施方案，对办案业务费项目前期工作进行了全方位自查和自评打分。通过绩效自评，进一步规范财政资金规划管理，强化部门责任意识，提高财政资金使用效率。</w:t>
      </w:r>
    </w:p>
    <w:p w14:paraId="578E19B6">
      <w:pPr>
        <w:numPr>
          <w:ilvl w:val="0"/>
          <w:numId w:val="3"/>
        </w:num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建立绩效评价指标体系</w:t>
      </w:r>
    </w:p>
    <w:p w14:paraId="540E2735">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在开展预算自评工作时，针对</w:t>
      </w:r>
      <w:r>
        <w:rPr>
          <w:rFonts w:hint="eastAsia" w:ascii="仿宋" w:hAnsi="仿宋" w:eastAsia="仿宋"/>
          <w:sz w:val="32"/>
          <w:szCs w:val="32"/>
          <w:lang w:val="en-US" w:eastAsia="zh-CN"/>
        </w:rPr>
        <w:t>检察院的工作实际</w:t>
      </w:r>
      <w:r>
        <w:rPr>
          <w:rFonts w:hint="eastAsia" w:ascii="仿宋" w:hAnsi="仿宋" w:eastAsia="仿宋"/>
          <w:sz w:val="32"/>
          <w:szCs w:val="32"/>
        </w:rPr>
        <w:t>，设计能够体现项目特点绩效评价指标体系。绩效指标权重由各部门根据评价对象实际情况确定，总分设定为100分。原则上一级指标权重统一设置为：</w:t>
      </w:r>
      <w:r>
        <w:rPr>
          <w:rFonts w:hint="eastAsia" w:ascii="仿宋" w:hAnsi="仿宋" w:eastAsia="仿宋"/>
          <w:sz w:val="32"/>
          <w:szCs w:val="32"/>
          <w:lang w:val="en-US" w:eastAsia="zh-CN"/>
        </w:rPr>
        <w:t>投入指标10分（包含资金</w:t>
      </w:r>
      <w:r>
        <w:rPr>
          <w:rFonts w:hint="eastAsia" w:ascii="仿宋" w:hAnsi="仿宋" w:eastAsia="仿宋"/>
          <w:sz w:val="32"/>
          <w:szCs w:val="32"/>
        </w:rPr>
        <w:t>到位率和到位及时率</w:t>
      </w:r>
      <w:r>
        <w:rPr>
          <w:rFonts w:hint="eastAsia" w:ascii="仿宋" w:hAnsi="仿宋" w:eastAsia="仿宋"/>
          <w:sz w:val="32"/>
          <w:szCs w:val="32"/>
          <w:lang w:val="en-US" w:eastAsia="zh-CN"/>
        </w:rPr>
        <w:t>-10分）、实施过程指标20分（包含</w:t>
      </w:r>
      <w:r>
        <w:rPr>
          <w:rFonts w:hint="eastAsia" w:ascii="仿宋" w:hAnsi="仿宋" w:eastAsia="仿宋"/>
          <w:sz w:val="32"/>
          <w:szCs w:val="32"/>
        </w:rPr>
        <w:t>业务管理情况分析</w:t>
      </w:r>
      <w:r>
        <w:rPr>
          <w:rFonts w:hint="eastAsia" w:ascii="仿宋" w:hAnsi="仿宋" w:eastAsia="仿宋"/>
          <w:sz w:val="32"/>
          <w:szCs w:val="32"/>
          <w:lang w:val="en-US" w:eastAsia="zh-CN"/>
        </w:rPr>
        <w:t>-10分、</w:t>
      </w:r>
      <w:r>
        <w:rPr>
          <w:rFonts w:hint="eastAsia" w:ascii="仿宋" w:hAnsi="仿宋" w:eastAsia="仿宋"/>
          <w:sz w:val="32"/>
          <w:szCs w:val="32"/>
        </w:rPr>
        <w:t>预算执行率指标</w:t>
      </w:r>
      <w:r>
        <w:rPr>
          <w:rFonts w:hint="eastAsia" w:ascii="仿宋" w:hAnsi="仿宋" w:eastAsia="仿宋"/>
          <w:sz w:val="32"/>
          <w:szCs w:val="32"/>
          <w:lang w:val="en-US" w:eastAsia="zh-CN"/>
        </w:rPr>
        <w:t>-</w:t>
      </w:r>
      <w:r>
        <w:rPr>
          <w:rFonts w:hint="eastAsia" w:ascii="仿宋" w:hAnsi="仿宋" w:eastAsia="仿宋"/>
          <w:sz w:val="32"/>
          <w:szCs w:val="32"/>
        </w:rPr>
        <w:t>10分</w:t>
      </w:r>
      <w:r>
        <w:rPr>
          <w:rFonts w:hint="eastAsia" w:ascii="仿宋" w:hAnsi="仿宋" w:eastAsia="仿宋"/>
          <w:sz w:val="32"/>
          <w:szCs w:val="32"/>
          <w:lang w:val="en-US" w:eastAsia="zh-CN"/>
        </w:rPr>
        <w:t>）、</w:t>
      </w:r>
      <w:r>
        <w:rPr>
          <w:rFonts w:hint="eastAsia" w:ascii="仿宋" w:hAnsi="仿宋" w:eastAsia="仿宋"/>
          <w:sz w:val="32"/>
          <w:szCs w:val="32"/>
        </w:rPr>
        <w:t>产出指标</w:t>
      </w:r>
      <w:r>
        <w:rPr>
          <w:rFonts w:hint="eastAsia" w:ascii="仿宋" w:hAnsi="仿宋" w:eastAsia="仿宋"/>
          <w:sz w:val="32"/>
          <w:szCs w:val="32"/>
          <w:lang w:val="en-US" w:eastAsia="zh-CN"/>
        </w:rPr>
        <w:t>3</w:t>
      </w:r>
      <w:r>
        <w:rPr>
          <w:rFonts w:hint="eastAsia" w:ascii="仿宋" w:hAnsi="仿宋" w:eastAsia="仿宋"/>
          <w:sz w:val="32"/>
          <w:szCs w:val="32"/>
        </w:rPr>
        <w:t>0分（包含</w:t>
      </w:r>
      <w:r>
        <w:rPr>
          <w:rFonts w:hint="eastAsia" w:ascii="仿宋" w:hAnsi="仿宋" w:eastAsia="仿宋"/>
          <w:sz w:val="32"/>
          <w:szCs w:val="32"/>
          <w:highlight w:val="none"/>
          <w:lang w:val="en-US" w:eastAsia="zh-CN"/>
        </w:rPr>
        <w:t>赔偿金额支付率预期达到100%-10分，赔偿人数预期达到2人-10分，资金支出规范性预期达到100%-10分</w:t>
      </w:r>
      <w:r>
        <w:rPr>
          <w:rFonts w:hint="eastAsia" w:ascii="仿宋" w:hAnsi="仿宋" w:eastAsia="仿宋"/>
          <w:sz w:val="32"/>
          <w:szCs w:val="32"/>
        </w:rPr>
        <w:t>）、效益指标</w:t>
      </w:r>
      <w:r>
        <w:rPr>
          <w:rFonts w:hint="eastAsia" w:ascii="仿宋" w:hAnsi="仿宋" w:eastAsia="仿宋"/>
          <w:sz w:val="32"/>
          <w:szCs w:val="32"/>
          <w:lang w:val="en-US" w:eastAsia="zh-CN"/>
        </w:rPr>
        <w:t>30</w:t>
      </w:r>
      <w:r>
        <w:rPr>
          <w:rFonts w:hint="eastAsia" w:ascii="仿宋" w:hAnsi="仿宋" w:eastAsia="仿宋"/>
          <w:sz w:val="32"/>
          <w:szCs w:val="32"/>
        </w:rPr>
        <w:t>分（包含</w:t>
      </w:r>
      <w:r>
        <w:rPr>
          <w:rFonts w:hint="eastAsia" w:ascii="仿宋" w:hAnsi="仿宋" w:eastAsia="仿宋"/>
          <w:sz w:val="32"/>
          <w:szCs w:val="32"/>
          <w:highlight w:val="none"/>
          <w:lang w:val="en-US" w:eastAsia="zh-CN"/>
        </w:rPr>
        <w:t>社会效益指标预计持续维护社会稳定和公平正义-30分</w:t>
      </w:r>
      <w:r>
        <w:rPr>
          <w:rFonts w:hint="eastAsia" w:ascii="仿宋" w:hAnsi="仿宋" w:eastAsia="仿宋"/>
          <w:sz w:val="32"/>
          <w:szCs w:val="32"/>
        </w:rPr>
        <w:t>）、满意度指标10分</w:t>
      </w:r>
      <w:r>
        <w:rPr>
          <w:rFonts w:hint="eastAsia" w:ascii="仿宋" w:hAnsi="仿宋" w:eastAsia="仿宋"/>
          <w:sz w:val="32"/>
          <w:szCs w:val="32"/>
          <w:lang w:eastAsia="zh-CN"/>
        </w:rPr>
        <w:t>（</w:t>
      </w:r>
      <w:r>
        <w:rPr>
          <w:rFonts w:hint="eastAsia" w:ascii="仿宋" w:hAnsi="仿宋" w:eastAsia="仿宋"/>
          <w:sz w:val="32"/>
          <w:szCs w:val="32"/>
          <w:lang w:val="en-US" w:eastAsia="zh-CN"/>
        </w:rPr>
        <w:t>包含</w:t>
      </w:r>
      <w:r>
        <w:rPr>
          <w:rFonts w:hint="eastAsia" w:ascii="仿宋" w:hAnsi="仿宋" w:eastAsia="仿宋"/>
          <w:sz w:val="32"/>
          <w:szCs w:val="32"/>
          <w:highlight w:val="none"/>
          <w:lang w:val="en-US" w:eastAsia="zh-CN"/>
        </w:rPr>
        <w:t>服务对象满意度预期达到90%以上-10分</w:t>
      </w:r>
      <w:r>
        <w:rPr>
          <w:rFonts w:hint="eastAsia" w:ascii="仿宋" w:hAnsi="仿宋" w:eastAsia="仿宋"/>
          <w:sz w:val="32"/>
          <w:szCs w:val="32"/>
          <w:lang w:eastAsia="zh-CN"/>
        </w:rPr>
        <w:t>）</w:t>
      </w:r>
      <w:r>
        <w:rPr>
          <w:rFonts w:hint="eastAsia" w:ascii="仿宋" w:hAnsi="仿宋" w:eastAsia="仿宋"/>
          <w:sz w:val="32"/>
          <w:szCs w:val="32"/>
        </w:rPr>
        <w:t>。</w:t>
      </w:r>
    </w:p>
    <w:p w14:paraId="7420E2E6">
      <w:pPr>
        <w:adjustRightInd w:val="0"/>
        <w:snapToGrid w:val="0"/>
        <w:spacing w:line="620" w:lineRule="exact"/>
        <w:ind w:firstLine="640" w:firstLineChars="200"/>
        <w:rPr>
          <w:rFonts w:hint="eastAsia" w:ascii="仿宋" w:hAnsi="仿宋" w:eastAsia="仿宋"/>
          <w:sz w:val="32"/>
          <w:szCs w:val="32"/>
        </w:rPr>
      </w:pPr>
    </w:p>
    <w:p w14:paraId="35DED05F">
      <w:pPr>
        <w:numPr>
          <w:ilvl w:val="0"/>
          <w:numId w:val="4"/>
        </w:numPr>
        <w:adjustRightInd w:val="0"/>
        <w:snapToGrid w:val="0"/>
        <w:spacing w:line="620" w:lineRule="exact"/>
        <w:ind w:firstLine="643" w:firstLineChars="200"/>
        <w:rPr>
          <w:rFonts w:hint="eastAsia" w:ascii="宋体" w:hAnsi="宋体"/>
          <w:b/>
          <w:sz w:val="32"/>
          <w:szCs w:val="32"/>
        </w:rPr>
      </w:pPr>
      <w:r>
        <w:rPr>
          <w:rFonts w:hint="eastAsia" w:ascii="宋体" w:hAnsi="宋体"/>
          <w:b/>
          <w:sz w:val="32"/>
          <w:szCs w:val="32"/>
        </w:rPr>
        <w:t>项目执行及绩效实现情况</w:t>
      </w:r>
    </w:p>
    <w:p w14:paraId="2078E39F">
      <w:pPr>
        <w:numPr>
          <w:ilvl w:val="0"/>
          <w:numId w:val="5"/>
        </w:num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项目</w:t>
      </w:r>
      <w:r>
        <w:rPr>
          <w:rFonts w:hint="eastAsia" w:ascii="仿宋" w:hAnsi="仿宋" w:eastAsia="仿宋"/>
          <w:sz w:val="32"/>
          <w:szCs w:val="32"/>
          <w:lang w:val="en-US" w:eastAsia="zh-CN"/>
        </w:rPr>
        <w:t>投入</w:t>
      </w:r>
    </w:p>
    <w:p w14:paraId="44BA0B2D">
      <w:pPr>
        <w:numPr>
          <w:ilvl w:val="0"/>
          <w:numId w:val="6"/>
        </w:numPr>
        <w:adjustRightInd w:val="0"/>
        <w:snapToGrid w:val="0"/>
        <w:spacing w:line="620" w:lineRule="exact"/>
        <w:ind w:firstLine="960" w:firstLineChars="300"/>
        <w:rPr>
          <w:rFonts w:hint="eastAsia" w:ascii="仿宋" w:hAnsi="仿宋" w:eastAsia="仿宋"/>
          <w:sz w:val="32"/>
          <w:szCs w:val="32"/>
          <w:lang w:val="en-US" w:eastAsia="zh-CN"/>
        </w:rPr>
      </w:pPr>
      <w:r>
        <w:rPr>
          <w:rFonts w:hint="eastAsia" w:ascii="仿宋" w:hAnsi="仿宋" w:eastAsia="仿宋"/>
          <w:sz w:val="32"/>
          <w:szCs w:val="32"/>
        </w:rPr>
        <w:t>资金落实情况分析。</w:t>
      </w:r>
      <w:r>
        <w:rPr>
          <w:rFonts w:hint="eastAsia" w:ascii="仿宋" w:hAnsi="仿宋" w:eastAsia="仿宋"/>
          <w:sz w:val="32"/>
          <w:szCs w:val="32"/>
          <w:lang w:val="en-US" w:eastAsia="zh-CN"/>
        </w:rPr>
        <w:t>严格按照预算项目绩效目标要求，按时间节点落实</w:t>
      </w:r>
      <w:r>
        <w:rPr>
          <w:rFonts w:hint="eastAsia" w:ascii="仿宋" w:hAnsi="仿宋" w:eastAsia="仿宋"/>
          <w:sz w:val="32"/>
          <w:szCs w:val="32"/>
        </w:rPr>
        <w:t>资金</w:t>
      </w:r>
      <w:r>
        <w:rPr>
          <w:rFonts w:hint="eastAsia" w:ascii="仿宋" w:hAnsi="仿宋" w:eastAsia="仿宋"/>
          <w:sz w:val="32"/>
          <w:szCs w:val="32"/>
          <w:lang w:eastAsia="zh-CN"/>
        </w:rPr>
        <w:t>，</w:t>
      </w:r>
      <w:r>
        <w:rPr>
          <w:rFonts w:hint="eastAsia" w:ascii="仿宋" w:hAnsi="仿宋" w:eastAsia="仿宋"/>
          <w:sz w:val="32"/>
          <w:szCs w:val="32"/>
          <w:lang w:val="en-US" w:eastAsia="zh-CN"/>
        </w:rPr>
        <w:t>保证资金</w:t>
      </w:r>
      <w:r>
        <w:rPr>
          <w:rFonts w:hint="eastAsia" w:ascii="仿宋" w:hAnsi="仿宋" w:eastAsia="仿宋"/>
          <w:sz w:val="32"/>
          <w:szCs w:val="32"/>
        </w:rPr>
        <w:t>到位率和到位及时率</w:t>
      </w:r>
      <w:r>
        <w:rPr>
          <w:rFonts w:hint="eastAsia" w:ascii="仿宋" w:hAnsi="仿宋" w:eastAsia="仿宋"/>
          <w:sz w:val="32"/>
          <w:szCs w:val="32"/>
          <w:lang w:val="en-US" w:eastAsia="zh-CN"/>
        </w:rPr>
        <w:t>达到100%，分值10分。</w:t>
      </w:r>
    </w:p>
    <w:p w14:paraId="7A3CFC93">
      <w:pPr>
        <w:numPr>
          <w:ilvl w:val="0"/>
          <w:numId w:val="5"/>
        </w:numPr>
        <w:adjustRightInd w:val="0"/>
        <w:snapToGrid w:val="0"/>
        <w:spacing w:line="620" w:lineRule="exact"/>
        <w:ind w:left="0" w:leftChars="0"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项目实施过程</w:t>
      </w:r>
    </w:p>
    <w:p w14:paraId="39E0AA9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rPr>
        <w:t>1、业务管理情况分析。</w:t>
      </w:r>
      <w:r>
        <w:rPr>
          <w:rFonts w:hint="eastAsia" w:ascii="仿宋" w:hAnsi="仿宋" w:eastAsia="仿宋"/>
          <w:sz w:val="32"/>
          <w:szCs w:val="32"/>
          <w:lang w:val="en-US" w:eastAsia="zh-CN"/>
        </w:rPr>
        <w:t>我单位组织相关人员对项目实施过程全程管理，有效保证了</w:t>
      </w:r>
      <w:r>
        <w:rPr>
          <w:rFonts w:hint="eastAsia" w:ascii="仿宋" w:hAnsi="仿宋" w:eastAsia="仿宋"/>
          <w:sz w:val="32"/>
          <w:szCs w:val="32"/>
        </w:rPr>
        <w:t>管理制度健全性、制度执行有效性和项目质量可控性</w:t>
      </w:r>
      <w:r>
        <w:rPr>
          <w:rFonts w:hint="eastAsia" w:ascii="仿宋" w:hAnsi="仿宋" w:eastAsia="仿宋"/>
          <w:sz w:val="32"/>
          <w:szCs w:val="32"/>
          <w:lang w:eastAsia="zh-CN"/>
        </w:rPr>
        <w:t>，分值</w:t>
      </w:r>
      <w:r>
        <w:rPr>
          <w:rFonts w:hint="eastAsia" w:ascii="仿宋" w:hAnsi="仿宋" w:eastAsia="仿宋"/>
          <w:sz w:val="32"/>
          <w:szCs w:val="32"/>
          <w:lang w:val="en-US" w:eastAsia="zh-CN"/>
        </w:rPr>
        <w:t>10分</w:t>
      </w:r>
      <w:r>
        <w:rPr>
          <w:rFonts w:hint="eastAsia" w:ascii="仿宋" w:hAnsi="仿宋" w:eastAsia="仿宋"/>
          <w:sz w:val="32"/>
          <w:szCs w:val="32"/>
          <w:lang w:eastAsia="zh-CN"/>
        </w:rPr>
        <w:t>。</w:t>
      </w:r>
    </w:p>
    <w:p w14:paraId="1829FF23">
      <w:pPr>
        <w:ind w:firstLine="640" w:firstLineChars="200"/>
        <w:rPr>
          <w:rFonts w:hint="eastAsia" w:ascii="仿宋" w:hAnsi="仿宋" w:eastAsia="仿宋"/>
          <w:sz w:val="32"/>
          <w:szCs w:val="32"/>
          <w:lang w:val="en-US" w:eastAsia="zh-CN"/>
        </w:rPr>
      </w:pPr>
      <w:r>
        <w:rPr>
          <w:rFonts w:hint="eastAsia" w:ascii="仿宋" w:hAnsi="仿宋" w:eastAsia="仿宋"/>
          <w:sz w:val="32"/>
          <w:szCs w:val="32"/>
        </w:rPr>
        <w:t>2、财务管理。</w:t>
      </w:r>
      <w:r>
        <w:rPr>
          <w:rFonts w:hint="eastAsia" w:ascii="仿宋" w:hAnsi="仿宋" w:eastAsia="仿宋"/>
          <w:sz w:val="32"/>
          <w:szCs w:val="32"/>
          <w:lang w:eastAsia="zh-CN"/>
        </w:rPr>
        <w:t>石家庄市藁城区</w:t>
      </w:r>
      <w:r>
        <w:rPr>
          <w:rFonts w:hint="eastAsia" w:ascii="仿宋" w:hAnsi="仿宋" w:eastAsia="仿宋"/>
          <w:sz w:val="32"/>
          <w:szCs w:val="32"/>
          <w:lang w:val="en-US" w:eastAsia="zh-CN"/>
        </w:rPr>
        <w:t>人民检察院</w:t>
      </w:r>
      <w:r>
        <w:rPr>
          <w:rFonts w:hint="eastAsia" w:ascii="仿宋" w:hAnsi="仿宋" w:eastAsia="仿宋"/>
          <w:sz w:val="32"/>
          <w:szCs w:val="32"/>
          <w:lang w:eastAsia="zh-CN"/>
        </w:rPr>
        <w:t>在项目实施过程中，严格遵守财务制度及财务规范。相关资金使用账目清晰、资金票据及相关附件齐全，资金使用合规、可控。分值</w:t>
      </w:r>
      <w:r>
        <w:rPr>
          <w:rFonts w:hint="eastAsia" w:ascii="仿宋" w:hAnsi="仿宋" w:eastAsia="仿宋"/>
          <w:sz w:val="32"/>
          <w:szCs w:val="32"/>
          <w:lang w:val="en-US" w:eastAsia="zh-CN"/>
        </w:rPr>
        <w:t>10 分。</w:t>
      </w:r>
    </w:p>
    <w:p w14:paraId="4661B062">
      <w:pPr>
        <w:numPr>
          <w:ilvl w:val="0"/>
          <w:numId w:val="5"/>
        </w:numPr>
        <w:adjustRightInd w:val="0"/>
        <w:snapToGrid w:val="0"/>
        <w:spacing w:line="620" w:lineRule="exact"/>
        <w:ind w:left="0" w:leftChars="0" w:firstLine="640" w:firstLineChars="200"/>
        <w:rPr>
          <w:rFonts w:hint="eastAsia" w:ascii="仿宋" w:hAnsi="仿宋" w:eastAsia="仿宋"/>
          <w:sz w:val="32"/>
          <w:szCs w:val="32"/>
        </w:rPr>
      </w:pPr>
      <w:r>
        <w:rPr>
          <w:rFonts w:hint="eastAsia" w:ascii="仿宋" w:hAnsi="仿宋" w:eastAsia="仿宋"/>
          <w:sz w:val="32"/>
          <w:szCs w:val="32"/>
          <w:lang w:val="en-US" w:eastAsia="zh-CN"/>
        </w:rPr>
        <w:t>项目</w:t>
      </w:r>
      <w:r>
        <w:rPr>
          <w:rFonts w:hint="eastAsia" w:ascii="仿宋" w:hAnsi="仿宋" w:eastAsia="仿宋"/>
          <w:sz w:val="32"/>
          <w:szCs w:val="32"/>
        </w:rPr>
        <w:t>产出</w:t>
      </w:r>
    </w:p>
    <w:p w14:paraId="501557CD">
      <w:pPr>
        <w:numPr>
          <w:ilvl w:val="0"/>
          <w:numId w:val="0"/>
        </w:numPr>
        <w:adjustRightInd w:val="0"/>
        <w:snapToGrid w:val="0"/>
        <w:spacing w:line="62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1.维修维护费实际支出达到65万元。</w:t>
      </w:r>
    </w:p>
    <w:p w14:paraId="68EED923">
      <w:pPr>
        <w:numPr>
          <w:ilvl w:val="0"/>
          <w:numId w:val="0"/>
        </w:numPr>
        <w:adjustRightInd w:val="0"/>
        <w:snapToGrid w:val="0"/>
        <w:spacing w:line="62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2.劳务费实际支出达到70万元。</w:t>
      </w:r>
    </w:p>
    <w:p w14:paraId="6D7DC240">
      <w:pPr>
        <w:numPr>
          <w:ilvl w:val="0"/>
          <w:numId w:val="0"/>
        </w:numPr>
        <w:adjustRightInd w:val="0"/>
        <w:snapToGrid w:val="0"/>
        <w:spacing w:line="62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3.资金支出规范性实际支出达到100%。</w:t>
      </w:r>
    </w:p>
    <w:p w14:paraId="02C6233B">
      <w:pPr>
        <w:adjustRightInd w:val="0"/>
        <w:snapToGrid w:val="0"/>
        <w:spacing w:line="620" w:lineRule="exact"/>
        <w:ind w:firstLine="640" w:firstLineChars="200"/>
        <w:rPr>
          <w:rFonts w:hint="default" w:ascii="仿宋" w:hAnsi="仿宋" w:eastAsia="仿宋"/>
          <w:sz w:val="32"/>
          <w:szCs w:val="32"/>
          <w:highlight w:val="none"/>
          <w:lang w:val="en-US" w:eastAsia="zh-CN"/>
        </w:rPr>
      </w:pPr>
      <w:r>
        <w:rPr>
          <w:rFonts w:hint="eastAsia" w:ascii="仿宋" w:hAnsi="仿宋" w:eastAsia="仿宋"/>
          <w:sz w:val="32"/>
          <w:szCs w:val="32"/>
        </w:rPr>
        <w:t>对项目的</w:t>
      </w:r>
      <w:r>
        <w:rPr>
          <w:rFonts w:hint="eastAsia" w:ascii="仿宋" w:hAnsi="仿宋" w:eastAsia="仿宋"/>
          <w:sz w:val="32"/>
          <w:szCs w:val="32"/>
          <w:lang w:eastAsia="zh-CN"/>
        </w:rPr>
        <w:t>该模块指标的实际完成</w:t>
      </w:r>
      <w:r>
        <w:rPr>
          <w:rFonts w:hint="eastAsia" w:ascii="仿宋" w:hAnsi="仿宋" w:eastAsia="仿宋"/>
          <w:sz w:val="32"/>
          <w:szCs w:val="32"/>
        </w:rPr>
        <w:t>情况进行分析后，根据指标体系评分标准计算分值</w:t>
      </w:r>
      <w:r>
        <w:rPr>
          <w:rFonts w:hint="eastAsia" w:ascii="仿宋" w:hAnsi="仿宋" w:eastAsia="仿宋"/>
          <w:sz w:val="32"/>
          <w:szCs w:val="32"/>
          <w:lang w:eastAsia="zh-CN"/>
        </w:rPr>
        <w:t>，得分</w:t>
      </w:r>
      <w:r>
        <w:rPr>
          <w:rFonts w:hint="eastAsia" w:ascii="仿宋" w:hAnsi="仿宋" w:eastAsia="仿宋"/>
          <w:sz w:val="32"/>
          <w:szCs w:val="32"/>
          <w:lang w:val="en-US" w:eastAsia="zh-CN"/>
        </w:rPr>
        <w:t>30分。</w:t>
      </w:r>
    </w:p>
    <w:p w14:paraId="3BBE097D">
      <w:pPr>
        <w:numPr>
          <w:ilvl w:val="0"/>
          <w:numId w:val="0"/>
        </w:numPr>
        <w:adjustRightInd w:val="0"/>
        <w:snapToGrid w:val="0"/>
        <w:spacing w:line="620" w:lineRule="exact"/>
        <w:ind w:leftChars="200" w:firstLine="320" w:firstLineChars="1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四</w:t>
      </w:r>
      <w:r>
        <w:rPr>
          <w:rFonts w:hint="eastAsia" w:ascii="仿宋" w:hAnsi="仿宋" w:eastAsia="仿宋"/>
          <w:sz w:val="32"/>
          <w:szCs w:val="32"/>
          <w:lang w:eastAsia="zh-CN"/>
        </w:rPr>
        <w:t>）</w:t>
      </w:r>
      <w:r>
        <w:rPr>
          <w:rFonts w:hint="eastAsia" w:ascii="仿宋" w:hAnsi="仿宋" w:eastAsia="仿宋"/>
          <w:sz w:val="32"/>
          <w:szCs w:val="32"/>
        </w:rPr>
        <w:t>项目效果</w:t>
      </w:r>
    </w:p>
    <w:p w14:paraId="3CDAE74A">
      <w:pPr>
        <w:numPr>
          <w:ilvl w:val="0"/>
          <w:numId w:val="0"/>
        </w:numPr>
        <w:adjustRightInd w:val="0"/>
        <w:snapToGrid w:val="0"/>
        <w:spacing w:line="62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1.社会效益指标实际实现持续维护社会稳定和公平正义的效果。</w:t>
      </w:r>
    </w:p>
    <w:p w14:paraId="6EAE1EC9">
      <w:pPr>
        <w:numPr>
          <w:ilvl w:val="0"/>
          <w:numId w:val="0"/>
        </w:numPr>
        <w:adjustRightInd w:val="0"/>
        <w:snapToGrid w:val="0"/>
        <w:spacing w:line="620" w:lineRule="exact"/>
        <w:ind w:firstLine="640" w:firstLineChars="200"/>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2.服务对象满意度超过90%。</w:t>
      </w:r>
    </w:p>
    <w:p w14:paraId="66988FE5">
      <w:p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rPr>
        <w:t>对项目的</w:t>
      </w:r>
      <w:r>
        <w:rPr>
          <w:rFonts w:hint="eastAsia" w:ascii="仿宋" w:hAnsi="仿宋" w:eastAsia="仿宋"/>
          <w:sz w:val="32"/>
          <w:szCs w:val="32"/>
          <w:lang w:eastAsia="zh-CN"/>
        </w:rPr>
        <w:t>该模块指标的实际完成</w:t>
      </w:r>
      <w:r>
        <w:rPr>
          <w:rFonts w:hint="eastAsia" w:ascii="仿宋" w:hAnsi="仿宋" w:eastAsia="仿宋"/>
          <w:sz w:val="32"/>
          <w:szCs w:val="32"/>
        </w:rPr>
        <w:t>情况进行分析后，根据指标体系评分标准计算分值</w:t>
      </w:r>
      <w:r>
        <w:rPr>
          <w:rFonts w:hint="eastAsia" w:ascii="仿宋" w:hAnsi="仿宋" w:eastAsia="仿宋"/>
          <w:sz w:val="32"/>
          <w:szCs w:val="32"/>
          <w:lang w:eastAsia="zh-CN"/>
        </w:rPr>
        <w:t>，得分</w:t>
      </w:r>
      <w:r>
        <w:rPr>
          <w:rFonts w:hint="eastAsia" w:ascii="仿宋" w:hAnsi="仿宋" w:eastAsia="仿宋"/>
          <w:sz w:val="32"/>
          <w:szCs w:val="32"/>
          <w:lang w:val="en-US" w:eastAsia="zh-CN"/>
        </w:rPr>
        <w:t>35分。</w:t>
      </w:r>
    </w:p>
    <w:p w14:paraId="053A40DE">
      <w:pPr>
        <w:adjustRightInd w:val="0"/>
        <w:snapToGrid w:val="0"/>
        <w:spacing w:line="62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总分95分。</w:t>
      </w:r>
    </w:p>
    <w:p w14:paraId="546D86C4">
      <w:pPr>
        <w:numPr>
          <w:ilvl w:val="0"/>
          <w:numId w:val="0"/>
        </w:numPr>
        <w:adjustRightInd w:val="0"/>
        <w:snapToGrid w:val="0"/>
        <w:spacing w:line="620" w:lineRule="exact"/>
        <w:rPr>
          <w:rFonts w:hint="eastAsia" w:ascii="宋体" w:hAnsi="宋体"/>
          <w:b/>
          <w:sz w:val="32"/>
          <w:szCs w:val="32"/>
        </w:rPr>
      </w:pPr>
    </w:p>
    <w:p w14:paraId="483F206B">
      <w:pPr>
        <w:numPr>
          <w:ilvl w:val="0"/>
          <w:numId w:val="7"/>
        </w:numPr>
        <w:adjustRightInd w:val="0"/>
        <w:snapToGrid w:val="0"/>
        <w:spacing w:line="620" w:lineRule="exact"/>
        <w:ind w:firstLine="643" w:firstLineChars="200"/>
        <w:rPr>
          <w:rFonts w:hint="eastAsia" w:ascii="宋体" w:hAnsi="宋体"/>
          <w:b/>
          <w:sz w:val="32"/>
          <w:szCs w:val="32"/>
        </w:rPr>
      </w:pPr>
      <w:r>
        <w:rPr>
          <w:rFonts w:hint="eastAsia" w:ascii="宋体" w:hAnsi="宋体"/>
          <w:b/>
          <w:sz w:val="32"/>
          <w:szCs w:val="32"/>
        </w:rPr>
        <w:t>项目综合评价结论和评价等级</w:t>
      </w:r>
    </w:p>
    <w:p w14:paraId="48AC9EB6">
      <w:pPr>
        <w:numPr>
          <w:ilvl w:val="0"/>
          <w:numId w:val="0"/>
        </w:numPr>
        <w:adjustRightInd w:val="0"/>
        <w:snapToGrid w:val="0"/>
        <w:spacing w:line="620" w:lineRule="exact"/>
        <w:rPr>
          <w:rFonts w:hint="eastAsia" w:ascii="宋体" w:hAnsi="宋体"/>
          <w:b/>
          <w:sz w:val="32"/>
          <w:szCs w:val="32"/>
        </w:rPr>
      </w:pPr>
    </w:p>
    <w:p w14:paraId="005F274B">
      <w:pPr>
        <w:adjustRightInd w:val="0"/>
        <w:snapToGrid w:val="0"/>
        <w:spacing w:line="620" w:lineRule="exact"/>
        <w:ind w:firstLine="640" w:firstLineChars="200"/>
        <w:rPr>
          <w:rFonts w:hint="default" w:ascii="宋体" w:hAnsi="宋体" w:eastAsia="宋体"/>
          <w:b/>
          <w:sz w:val="32"/>
          <w:szCs w:val="32"/>
          <w:highlight w:val="none"/>
          <w:lang w:val="en-US" w:eastAsia="zh-CN"/>
        </w:rPr>
      </w:pPr>
      <w:r>
        <w:rPr>
          <w:rFonts w:hint="eastAsia" w:ascii="仿宋" w:hAnsi="仿宋" w:eastAsia="仿宋"/>
          <w:sz w:val="32"/>
          <w:szCs w:val="32"/>
          <w:highlight w:val="none"/>
          <w:lang w:val="en-US" w:eastAsia="zh-CN"/>
        </w:rPr>
        <w:t>我院预算项目资金的编制、管理和使用，严格执行“收支两条线”管理，按照预算资金管理办法“量入为出和专款专用的原则”，根据项目进度和时间线，及时拨付项目预算资金，有效实现了预算项目目标，也产生了良好的社会效益。</w:t>
      </w:r>
    </w:p>
    <w:p w14:paraId="7B31C760">
      <w:p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根据项目执行情况和项目绩效情况，该项目指标体系得分95分，综合评价结论和项目综合绩效评价等级为优秀。</w:t>
      </w:r>
    </w:p>
    <w:p w14:paraId="21D7A9C9">
      <w:pPr>
        <w:adjustRightInd w:val="0"/>
        <w:snapToGrid w:val="0"/>
        <w:spacing w:line="620" w:lineRule="exact"/>
        <w:ind w:firstLine="640" w:firstLineChars="200"/>
        <w:rPr>
          <w:rFonts w:hint="eastAsia" w:ascii="仿宋" w:hAnsi="仿宋" w:eastAsia="仿宋"/>
          <w:sz w:val="32"/>
          <w:szCs w:val="32"/>
          <w:lang w:val="en-US" w:eastAsia="zh-CN"/>
        </w:rPr>
      </w:pPr>
    </w:p>
    <w:p w14:paraId="58D7ACCD">
      <w:pPr>
        <w:numPr>
          <w:ilvl w:val="0"/>
          <w:numId w:val="7"/>
        </w:numPr>
        <w:adjustRightInd w:val="0"/>
        <w:snapToGrid w:val="0"/>
        <w:spacing w:line="620" w:lineRule="exact"/>
        <w:ind w:left="0" w:leftChars="0" w:firstLine="643" w:firstLineChars="200"/>
        <w:rPr>
          <w:rFonts w:hint="eastAsia" w:ascii="宋体" w:hAnsi="宋体"/>
          <w:b/>
          <w:sz w:val="32"/>
          <w:szCs w:val="32"/>
        </w:rPr>
      </w:pPr>
      <w:r>
        <w:rPr>
          <w:rFonts w:hint="eastAsia" w:ascii="宋体" w:hAnsi="宋体"/>
          <w:b/>
          <w:sz w:val="32"/>
          <w:szCs w:val="32"/>
        </w:rPr>
        <w:t>存在的问题及改进措施</w:t>
      </w:r>
    </w:p>
    <w:p w14:paraId="7C2DC7AC">
      <w:pPr>
        <w:numPr>
          <w:ilvl w:val="0"/>
          <w:numId w:val="0"/>
        </w:numPr>
        <w:adjustRightInd w:val="0"/>
        <w:snapToGrid w:val="0"/>
        <w:spacing w:line="620" w:lineRule="exact"/>
        <w:ind w:leftChars="200"/>
        <w:rPr>
          <w:rFonts w:hint="eastAsia" w:ascii="宋体" w:hAnsi="宋体"/>
          <w:b/>
          <w:sz w:val="32"/>
          <w:szCs w:val="32"/>
        </w:rPr>
      </w:pPr>
    </w:p>
    <w:p w14:paraId="1BC4C01C">
      <w:p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（一）项目存在的主要问题</w:t>
      </w:r>
    </w:p>
    <w:p w14:paraId="08C5BBC1">
      <w:p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对编入预算的办案业务费项目的各项支出进行分析评价，未发现有重大问题。</w:t>
      </w:r>
    </w:p>
    <w:p w14:paraId="700017DC">
      <w:pPr>
        <w:adjustRightInd w:val="0"/>
        <w:snapToGrid w:val="0"/>
        <w:spacing w:line="620" w:lineRule="exact"/>
        <w:ind w:firstLine="640" w:firstLineChars="200"/>
        <w:rPr>
          <w:rFonts w:hint="eastAsia" w:ascii="仿宋" w:hAnsi="仿宋" w:eastAsia="仿宋"/>
          <w:sz w:val="32"/>
          <w:szCs w:val="32"/>
          <w:lang w:val="en-US" w:eastAsia="zh-CN"/>
        </w:rPr>
      </w:pPr>
    </w:p>
    <w:p w14:paraId="14AB5EC3">
      <w:pPr>
        <w:numPr>
          <w:ilvl w:val="0"/>
          <w:numId w:val="8"/>
        </w:numPr>
        <w:adjustRightInd w:val="0"/>
        <w:snapToGrid w:val="0"/>
        <w:spacing w:line="620" w:lineRule="exact"/>
        <w:ind w:firstLine="640" w:firstLineChars="200"/>
        <w:rPr>
          <w:rFonts w:hint="eastAsia" w:ascii="仿宋" w:hAnsi="仿宋" w:eastAsia="仿宋"/>
          <w:sz w:val="32"/>
          <w:szCs w:val="32"/>
        </w:rPr>
      </w:pPr>
      <w:r>
        <w:rPr>
          <w:rFonts w:hint="eastAsia" w:ascii="仿宋" w:hAnsi="仿宋" w:eastAsia="仿宋"/>
          <w:sz w:val="32"/>
          <w:szCs w:val="32"/>
        </w:rPr>
        <w:t>针对问题提出具体的改进措施或建议</w:t>
      </w:r>
    </w:p>
    <w:p w14:paraId="19DFAFAC">
      <w:p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为了使未来年度的预算绩效取得更好的评价，我院将严格按照相关文件精神，规范执行行为，落实执行进度，使得我们的专项经费取得最优的效益。</w:t>
      </w:r>
    </w:p>
    <w:p w14:paraId="4D5FF3D7">
      <w:pPr>
        <w:adjustRightInd w:val="0"/>
        <w:snapToGrid w:val="0"/>
        <w:spacing w:line="620" w:lineRule="exact"/>
        <w:ind w:firstLine="640" w:firstLineChars="200"/>
        <w:rPr>
          <w:rFonts w:hint="default" w:ascii="仿宋" w:hAnsi="仿宋" w:eastAsia="仿宋"/>
          <w:sz w:val="32"/>
          <w:szCs w:val="32"/>
          <w:lang w:val="en-US" w:eastAsia="zh-CN"/>
        </w:rPr>
      </w:pPr>
    </w:p>
    <w:p w14:paraId="08EC1873">
      <w:pPr>
        <w:numPr>
          <w:ilvl w:val="0"/>
          <w:numId w:val="7"/>
        </w:numPr>
        <w:adjustRightInd w:val="0"/>
        <w:spacing w:line="360" w:lineRule="auto"/>
        <w:ind w:left="0" w:leftChars="0" w:firstLine="643" w:firstLineChars="200"/>
        <w:rPr>
          <w:rFonts w:hint="eastAsia" w:ascii="仿宋" w:hAnsi="仿宋" w:eastAsia="仿宋"/>
          <w:sz w:val="32"/>
          <w:szCs w:val="32"/>
        </w:rPr>
      </w:pPr>
      <w:r>
        <w:rPr>
          <w:rFonts w:hint="eastAsia" w:ascii="宋体" w:hAnsi="宋体"/>
          <w:b/>
          <w:sz w:val="32"/>
          <w:szCs w:val="32"/>
        </w:rPr>
        <w:t>评价工作组人员名单及签字</w:t>
      </w:r>
      <w:r>
        <w:rPr>
          <w:rFonts w:hint="eastAsia" w:ascii="仿宋" w:hAnsi="仿宋" w:eastAsia="仿宋"/>
          <w:sz w:val="32"/>
          <w:szCs w:val="32"/>
        </w:rPr>
        <w:t>（姓名、工作单位、职务、职称）</w:t>
      </w:r>
    </w:p>
    <w:p w14:paraId="2C268E3E">
      <w:pPr>
        <w:numPr>
          <w:ilvl w:val="0"/>
          <w:numId w:val="0"/>
        </w:numPr>
        <w:adjustRightInd w:val="0"/>
        <w:spacing w:line="360" w:lineRule="auto"/>
        <w:ind w:leftChars="200" w:firstLine="320" w:firstLineChars="100"/>
        <w:rPr>
          <w:rFonts w:hint="eastAsia" w:ascii="仿宋" w:hAnsi="仿宋" w:eastAsia="仿宋"/>
          <w:sz w:val="32"/>
          <w:szCs w:val="32"/>
        </w:rPr>
      </w:pPr>
      <w:r>
        <w:rPr>
          <w:rFonts w:hint="eastAsia" w:ascii="仿宋" w:hAnsi="仿宋" w:eastAsia="仿宋"/>
          <w:sz w:val="32"/>
          <w:szCs w:val="32"/>
          <w:lang w:val="en-US" w:eastAsia="zh-CN"/>
        </w:rPr>
        <w:t>工作单位            职务         姓名     签字</w:t>
      </w:r>
    </w:p>
    <w:p w14:paraId="54B2169D">
      <w:pPr>
        <w:adjustRightInd w:val="0"/>
        <w:snapToGrid w:val="0"/>
        <w:spacing w:line="62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藁城区人民检察院  党组副书记     马云亮</w:t>
      </w:r>
    </w:p>
    <w:p w14:paraId="6326BB95">
      <w:pPr>
        <w:adjustRightInd w:val="0"/>
        <w:snapToGrid w:val="0"/>
        <w:spacing w:line="62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藁城区人民检察院  办公室主任     郝振中</w:t>
      </w:r>
    </w:p>
    <w:p w14:paraId="627E4F2F">
      <w:pPr>
        <w:adjustRightInd w:val="0"/>
        <w:snapToGrid w:val="0"/>
        <w:spacing w:line="62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藁城区人民检察院  办公室出纳     张立伟</w:t>
      </w:r>
    </w:p>
    <w:p w14:paraId="2F1F20D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17DDE5"/>
    <w:multiLevelType w:val="singleLevel"/>
    <w:tmpl w:val="C517DDE5"/>
    <w:lvl w:ilvl="0" w:tentative="0">
      <w:start w:val="1"/>
      <w:numFmt w:val="chineseCounting"/>
      <w:suff w:val="nothing"/>
      <w:lvlText w:val="%1、"/>
      <w:lvlJc w:val="left"/>
      <w:rPr>
        <w:rFonts w:hint="eastAsia"/>
      </w:rPr>
    </w:lvl>
  </w:abstractNum>
  <w:abstractNum w:abstractNumId="1">
    <w:nsid w:val="C7A5E837"/>
    <w:multiLevelType w:val="singleLevel"/>
    <w:tmpl w:val="C7A5E837"/>
    <w:lvl w:ilvl="0" w:tentative="0">
      <w:start w:val="4"/>
      <w:numFmt w:val="chineseCounting"/>
      <w:suff w:val="nothing"/>
      <w:lvlText w:val="%1、"/>
      <w:lvlJc w:val="left"/>
      <w:rPr>
        <w:rFonts w:hint="eastAsia"/>
      </w:rPr>
    </w:lvl>
  </w:abstractNum>
  <w:abstractNum w:abstractNumId="2">
    <w:nsid w:val="ECC6191D"/>
    <w:multiLevelType w:val="singleLevel"/>
    <w:tmpl w:val="ECC6191D"/>
    <w:lvl w:ilvl="0" w:tentative="0">
      <w:start w:val="1"/>
      <w:numFmt w:val="chineseCounting"/>
      <w:suff w:val="nothing"/>
      <w:lvlText w:val="（%1）"/>
      <w:lvlJc w:val="left"/>
      <w:rPr>
        <w:rFonts w:hint="eastAsia"/>
      </w:rPr>
    </w:lvl>
  </w:abstractNum>
  <w:abstractNum w:abstractNumId="3">
    <w:nsid w:val="1BC20CEA"/>
    <w:multiLevelType w:val="singleLevel"/>
    <w:tmpl w:val="1BC20CEA"/>
    <w:lvl w:ilvl="0" w:tentative="0">
      <w:start w:val="2"/>
      <w:numFmt w:val="chineseCounting"/>
      <w:suff w:val="nothing"/>
      <w:lvlText w:val="%1、"/>
      <w:lvlJc w:val="left"/>
      <w:rPr>
        <w:rFonts w:hint="eastAsia"/>
      </w:rPr>
    </w:lvl>
  </w:abstractNum>
  <w:abstractNum w:abstractNumId="4">
    <w:nsid w:val="1FA79F38"/>
    <w:multiLevelType w:val="singleLevel"/>
    <w:tmpl w:val="1FA79F38"/>
    <w:lvl w:ilvl="0" w:tentative="0">
      <w:start w:val="3"/>
      <w:numFmt w:val="chineseCounting"/>
      <w:suff w:val="nothing"/>
      <w:lvlText w:val="%1、"/>
      <w:lvlJc w:val="left"/>
      <w:rPr>
        <w:rFonts w:hint="eastAsia"/>
      </w:rPr>
    </w:lvl>
  </w:abstractNum>
  <w:abstractNum w:abstractNumId="5">
    <w:nsid w:val="46645349"/>
    <w:multiLevelType w:val="singleLevel"/>
    <w:tmpl w:val="46645349"/>
    <w:lvl w:ilvl="0" w:tentative="0">
      <w:start w:val="2"/>
      <w:numFmt w:val="chineseCounting"/>
      <w:suff w:val="nothing"/>
      <w:lvlText w:val="（%1）"/>
      <w:lvlJc w:val="left"/>
      <w:rPr>
        <w:rFonts w:hint="eastAsia"/>
      </w:rPr>
    </w:lvl>
  </w:abstractNum>
  <w:abstractNum w:abstractNumId="6">
    <w:nsid w:val="72E7373A"/>
    <w:multiLevelType w:val="singleLevel"/>
    <w:tmpl w:val="72E7373A"/>
    <w:lvl w:ilvl="0" w:tentative="0">
      <w:start w:val="3"/>
      <w:numFmt w:val="chineseCounting"/>
      <w:suff w:val="nothing"/>
      <w:lvlText w:val="（%1）"/>
      <w:lvlJc w:val="left"/>
      <w:rPr>
        <w:rFonts w:hint="eastAsia"/>
      </w:rPr>
    </w:lvl>
  </w:abstractNum>
  <w:abstractNum w:abstractNumId="7">
    <w:nsid w:val="7C424003"/>
    <w:multiLevelType w:val="singleLevel"/>
    <w:tmpl w:val="7C424003"/>
    <w:lvl w:ilvl="0" w:tentative="0">
      <w:start w:val="1"/>
      <w:numFmt w:val="decimal"/>
      <w:suff w:val="nothing"/>
      <w:lvlText w:val="%1、"/>
      <w:lvlJc w:val="left"/>
    </w:lvl>
  </w:abstractNum>
  <w:num w:numId="1">
    <w:abstractNumId w:val="0"/>
  </w:num>
  <w:num w:numId="2">
    <w:abstractNumId w:val="3"/>
  </w:num>
  <w:num w:numId="3">
    <w:abstractNumId w:val="6"/>
  </w:num>
  <w:num w:numId="4">
    <w:abstractNumId w:val="4"/>
  </w:num>
  <w:num w:numId="5">
    <w:abstractNumId w:val="2"/>
  </w:num>
  <w:num w:numId="6">
    <w:abstractNumId w:val="7"/>
  </w:num>
  <w:num w:numId="7">
    <w:abstractNumId w:val="1"/>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19F66191"/>
    <w:rsid w:val="0E14115E"/>
    <w:rsid w:val="15D70E49"/>
    <w:rsid w:val="19F66191"/>
    <w:rsid w:val="27472FD0"/>
    <w:rsid w:val="2C83016A"/>
    <w:rsid w:val="3DC14177"/>
    <w:rsid w:val="45175C72"/>
    <w:rsid w:val="4AFF2846"/>
    <w:rsid w:val="54542AD0"/>
    <w:rsid w:val="56A7287E"/>
    <w:rsid w:val="640345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1760</Words>
  <Characters>1828</Characters>
  <Lines>0</Lines>
  <Paragraphs>0</Paragraphs>
  <TotalTime>3</TotalTime>
  <ScaleCrop>false</ScaleCrop>
  <LinksUpToDate>false</LinksUpToDate>
  <CharactersWithSpaces>1876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2020-07-29T07:47:00Z</dcterms:created>
  <dc:creator>Administrator</dc:creator>
  <cp:lastModifiedBy> </cp:lastModifiedBy>
  <cp:lastPrinted>2020-07-29T09:48:00Z</cp:lastPrinted>
  <dcterms:modified xsi:type="dcterms:W3CDTF">2024-09-12T02:02:51Z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FDB7FE69F3CC40E18E24466943AE5FDE_12</vt:lpwstr>
  </property>
</Properties>
</file>