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B671">
      <w:pPr>
        <w:spacing w:line="360" w:lineRule="auto"/>
        <w:jc w:val="center"/>
        <w:rPr>
          <w:rFonts w:hint="eastAsia" w:ascii="宋体" w:hAnsi="宋体"/>
          <w:sz w:val="36"/>
          <w:szCs w:val="36"/>
        </w:rPr>
      </w:pPr>
      <w:r>
        <w:rPr>
          <w:rFonts w:hint="eastAsia" w:ascii="宋体" w:hAnsi="宋体"/>
          <w:sz w:val="36"/>
          <w:szCs w:val="36"/>
          <w:lang w:eastAsia="zh-CN"/>
        </w:rPr>
        <w:t>藁城区民政事业服务中心运行费</w:t>
      </w:r>
      <w:r>
        <w:rPr>
          <w:rFonts w:hint="eastAsia" w:ascii="宋体" w:hAnsi="宋体"/>
          <w:sz w:val="36"/>
          <w:szCs w:val="36"/>
        </w:rPr>
        <w:t>项目</w:t>
      </w:r>
    </w:p>
    <w:p w14:paraId="3CBBE5E3">
      <w:pPr>
        <w:spacing w:line="360" w:lineRule="auto"/>
        <w:jc w:val="center"/>
        <w:rPr>
          <w:rFonts w:hint="eastAsia" w:ascii="华文楷体" w:eastAsia="华文楷体"/>
          <w:sz w:val="32"/>
          <w:szCs w:val="32"/>
        </w:rPr>
      </w:pPr>
      <w:bookmarkStart w:id="0" w:name="_GoBack"/>
      <w:bookmarkEnd w:id="0"/>
      <w:r>
        <w:rPr>
          <w:rFonts w:hint="eastAsia" w:ascii="宋体" w:hAnsi="宋体"/>
          <w:sz w:val="36"/>
          <w:szCs w:val="36"/>
          <w:lang w:val="en-US" w:eastAsia="zh-CN"/>
        </w:rPr>
        <w:t>2018</w:t>
      </w:r>
      <w:r>
        <w:rPr>
          <w:rFonts w:hint="eastAsia" w:ascii="宋体" w:hAnsi="宋体"/>
          <w:sz w:val="36"/>
          <w:szCs w:val="36"/>
        </w:rPr>
        <w:t>年度绩效自评报告</w:t>
      </w:r>
    </w:p>
    <w:p w14:paraId="1684AD63">
      <w:pPr>
        <w:spacing w:line="360" w:lineRule="auto"/>
        <w:jc w:val="center"/>
        <w:rPr>
          <w:rFonts w:hint="eastAsia" w:ascii="仿宋" w:hAnsi="仿宋" w:eastAsia="仿宋" w:cs="仿宋"/>
          <w:sz w:val="32"/>
          <w:szCs w:val="32"/>
        </w:rPr>
      </w:pPr>
    </w:p>
    <w:p w14:paraId="48FC1E1C">
      <w:pPr>
        <w:spacing w:line="360" w:lineRule="auto"/>
        <w:jc w:val="center"/>
        <w:rPr>
          <w:rFonts w:hint="eastAsia" w:ascii="华文楷体" w:eastAsia="华文楷体"/>
          <w:sz w:val="32"/>
          <w:szCs w:val="32"/>
        </w:rPr>
      </w:pPr>
    </w:p>
    <w:p w14:paraId="705BC7BE">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民政事业服务中心运行费</w:t>
      </w:r>
      <w:r>
        <w:rPr>
          <w:rFonts w:hint="eastAsia" w:ascii="仿宋_GB2312" w:eastAsia="仿宋_GB2312"/>
          <w:sz w:val="32"/>
          <w:szCs w:val="32"/>
        </w:rPr>
        <w:t>项目实施了绩效评价，形成本评价报告。</w:t>
      </w:r>
    </w:p>
    <w:p w14:paraId="6115CB04">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6FE47080">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01A18F92">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1.项目实施单位及项目立项等基本情况</w:t>
      </w:r>
      <w:r>
        <w:rPr>
          <w:rFonts w:hint="eastAsia" w:ascii="仿宋_GB2312" w:eastAsia="仿宋_GB2312"/>
          <w:sz w:val="32"/>
          <w:szCs w:val="32"/>
          <w:lang w:eastAsia="zh-CN"/>
        </w:rPr>
        <w:t>：</w:t>
      </w:r>
    </w:p>
    <w:p w14:paraId="0820E7F6">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以人为本、为民解困、为人民服务的原则。中心承担中心敬老院、儿童福利院的管理工作，吸收农村五保对象、孤儿、残障弃婴的集中入住，统一管理供养。</w:t>
      </w:r>
    </w:p>
    <w:p w14:paraId="0155239F">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2.项目主要实施内容和范围</w:t>
      </w:r>
      <w:r>
        <w:rPr>
          <w:rFonts w:hint="eastAsia" w:ascii="仿宋_GB2312" w:eastAsia="仿宋_GB2312"/>
          <w:sz w:val="32"/>
          <w:szCs w:val="32"/>
          <w:lang w:eastAsia="zh-CN"/>
        </w:rPr>
        <w:t>：</w:t>
      </w:r>
    </w:p>
    <w:p w14:paraId="0F90B284">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严格按照服务宗旨，为集中入住五保对象和孤弃儿童提供日常照料。</w:t>
      </w:r>
    </w:p>
    <w:p w14:paraId="1CEDC745">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3.项目资金投入情况（资金数量、资金结构、资金来源渠道等）</w:t>
      </w:r>
    </w:p>
    <w:p w14:paraId="18664C93">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藁城区财政投入</w:t>
      </w:r>
      <w:r>
        <w:rPr>
          <w:rFonts w:hint="eastAsia" w:ascii="仿宋_GB2312" w:eastAsia="仿宋_GB2312"/>
          <w:sz w:val="32"/>
          <w:szCs w:val="32"/>
          <w:lang w:val="en-US" w:eastAsia="zh-CN"/>
        </w:rPr>
        <w:t>100万元，用于保障民政事业服务中心正常运行，资金来源为一般公共预算。</w:t>
      </w:r>
    </w:p>
    <w:p w14:paraId="39F606B0">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14:paraId="0EECB44E">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14:paraId="31D39A41">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民政事业服务中心制定各项管理制度，保障了中心安全运行，并按制度进行考核，依照标准做出评价。</w:t>
      </w:r>
    </w:p>
    <w:p w14:paraId="686BF23B">
      <w:pPr>
        <w:ind w:firstLine="640" w:firstLineChars="200"/>
        <w:rPr>
          <w:rFonts w:hint="eastAsia" w:ascii="仿宋_GB2312" w:eastAsia="仿宋_GB2312"/>
          <w:sz w:val="32"/>
          <w:szCs w:val="32"/>
        </w:rPr>
      </w:pPr>
      <w:r>
        <w:rPr>
          <w:rFonts w:hint="eastAsia" w:ascii="仿宋_GB2312" w:eastAsia="仿宋_GB2312"/>
          <w:sz w:val="32"/>
          <w:szCs w:val="32"/>
        </w:rPr>
        <w:t>（2）财务管理。对管理制度健全性、资金使用合规性和财务监控有效性等情况进行分析后，根据指标体系评分标准计算分值。</w:t>
      </w:r>
    </w:p>
    <w:p w14:paraId="2D4E27EE">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中心安全运行实施过程中，严格遵守国家财经法规和财务管理制度以及有关专项资金管理办法的规定。资金的拨付有完整的审批程序和手续，符合项目预算批复或合同规定的用途。相关资金使用账目清晰、资金票据及相关附件齐全，资金使用合规、可控。</w:t>
      </w:r>
    </w:p>
    <w:p w14:paraId="49D087AA">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4B9171ED">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保障民政事业服务中心安全运行，推动全区养老服务工作扎实有效开展。</w:t>
      </w:r>
    </w:p>
    <w:p w14:paraId="4EC1248F">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14:paraId="6F6D4ACE">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14:paraId="266FC76C">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针对民政事业服务中心安全运行项目实施中，财政资金支出的及时性、准确性进行评价。</w:t>
      </w:r>
    </w:p>
    <w:p w14:paraId="6A933B9E">
      <w:pPr>
        <w:numPr>
          <w:ilvl w:val="0"/>
          <w:numId w:val="1"/>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14:paraId="647ED583">
      <w:pPr>
        <w:numPr>
          <w:ilvl w:val="0"/>
          <w:numId w:val="0"/>
        </w:numPr>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 xml:space="preserve">     通过询问入住对象的满意度进行评价。</w:t>
      </w:r>
    </w:p>
    <w:p w14:paraId="32CC11DD">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14:paraId="3236392D">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14:paraId="3398CD5A">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1、项目的实际完成率</w:t>
      </w:r>
      <w:r>
        <w:rPr>
          <w:rFonts w:hint="eastAsia" w:ascii="仿宋_GB2312" w:eastAsia="仿宋_GB2312"/>
          <w:sz w:val="32"/>
          <w:szCs w:val="32"/>
          <w:lang w:val="en-US" w:eastAsia="zh-CN"/>
        </w:rPr>
        <w:t>100%</w:t>
      </w:r>
    </w:p>
    <w:p w14:paraId="2E74806C">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2、项目完成及时率</w:t>
      </w:r>
      <w:r>
        <w:rPr>
          <w:rFonts w:hint="eastAsia" w:ascii="仿宋_GB2312" w:eastAsia="仿宋_GB2312"/>
          <w:sz w:val="32"/>
          <w:szCs w:val="32"/>
          <w:lang w:val="en-US" w:eastAsia="zh-CN"/>
        </w:rPr>
        <w:t>100%</w:t>
      </w:r>
    </w:p>
    <w:p w14:paraId="0DC2F6E9">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3、项目完成质量达标率</w:t>
      </w:r>
      <w:r>
        <w:rPr>
          <w:rFonts w:hint="eastAsia" w:ascii="仿宋_GB2312" w:eastAsia="仿宋_GB2312"/>
          <w:sz w:val="32"/>
          <w:szCs w:val="32"/>
          <w:lang w:val="en-US" w:eastAsia="zh-CN"/>
        </w:rPr>
        <w:t>100%</w:t>
      </w:r>
    </w:p>
    <w:p w14:paraId="7308B00F">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4、项目成本节约率</w:t>
      </w:r>
      <w:r>
        <w:rPr>
          <w:rFonts w:hint="eastAsia" w:ascii="仿宋_GB2312" w:eastAsia="仿宋_GB2312"/>
          <w:sz w:val="32"/>
          <w:szCs w:val="32"/>
          <w:lang w:val="en-US" w:eastAsia="zh-CN"/>
        </w:rPr>
        <w:t>100%</w:t>
      </w:r>
    </w:p>
    <w:p w14:paraId="73AC4F7E">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14:paraId="4B243B23">
      <w:pPr>
        <w:ind w:firstLine="640" w:firstLineChars="200"/>
        <w:rPr>
          <w:rFonts w:hint="eastAsia" w:ascii="仿宋_GB2312" w:eastAsia="仿宋_GB2312"/>
          <w:sz w:val="32"/>
          <w:szCs w:val="32"/>
        </w:rPr>
      </w:pPr>
      <w:r>
        <w:rPr>
          <w:rFonts w:hint="eastAsia" w:ascii="仿宋_GB2312" w:eastAsia="仿宋_GB2312"/>
          <w:sz w:val="32"/>
          <w:szCs w:val="32"/>
        </w:rPr>
        <w:t>1、项目实施的经济效益分析</w:t>
      </w:r>
    </w:p>
    <w:p w14:paraId="2FDF05FC">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确保民政事业服务中心安全运行无事故发生。</w:t>
      </w:r>
    </w:p>
    <w:p w14:paraId="20D90E1F">
      <w:pPr>
        <w:ind w:firstLine="640" w:firstLineChars="200"/>
        <w:rPr>
          <w:rFonts w:hint="eastAsia" w:ascii="仿宋_GB2312" w:eastAsia="仿宋_GB2312"/>
          <w:sz w:val="32"/>
          <w:szCs w:val="32"/>
        </w:rPr>
      </w:pPr>
      <w:r>
        <w:rPr>
          <w:rFonts w:hint="eastAsia" w:ascii="仿宋_GB2312" w:eastAsia="仿宋_GB2312"/>
          <w:sz w:val="32"/>
          <w:szCs w:val="32"/>
        </w:rPr>
        <w:t>2、项目实施的社会效益分析</w:t>
      </w:r>
    </w:p>
    <w:p w14:paraId="55B0F736">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增加社会影响力，推动全区养老服务有序开展，提升养老服务水平。</w:t>
      </w:r>
    </w:p>
    <w:p w14:paraId="2997901A">
      <w:pPr>
        <w:ind w:firstLine="640" w:firstLineChars="200"/>
        <w:rPr>
          <w:rFonts w:hint="eastAsia" w:ascii="仿宋_GB2312" w:eastAsia="仿宋_GB2312"/>
          <w:sz w:val="32"/>
          <w:szCs w:val="32"/>
        </w:rPr>
      </w:pPr>
      <w:r>
        <w:rPr>
          <w:rFonts w:hint="eastAsia" w:ascii="仿宋_GB2312" w:eastAsia="仿宋_GB2312"/>
          <w:sz w:val="32"/>
          <w:szCs w:val="32"/>
        </w:rPr>
        <w:t>（三）满意度指标完成情况分析</w:t>
      </w:r>
    </w:p>
    <w:p w14:paraId="26DF5A71">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入住对象满意度调查，满意度</w:t>
      </w:r>
      <w:r>
        <w:rPr>
          <w:rFonts w:hint="eastAsia" w:ascii="仿宋_GB2312" w:eastAsia="仿宋_GB2312"/>
          <w:sz w:val="32"/>
          <w:szCs w:val="32"/>
          <w:lang w:val="en-US" w:eastAsia="zh-CN"/>
        </w:rPr>
        <w:t>100%。</w:t>
      </w:r>
    </w:p>
    <w:p w14:paraId="01229C90">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14:paraId="53A356D1">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2018年民政事业服务中心安全运行项目绩效评价总分为95分，绩效评价等级为优秀。</w:t>
      </w:r>
    </w:p>
    <w:p w14:paraId="49BF0AF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C3B04F"/>
    <w:multiLevelType w:val="singleLevel"/>
    <w:tmpl w:val="FBC3B04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DF23ED"/>
    <w:rsid w:val="00435163"/>
    <w:rsid w:val="00DF23ED"/>
    <w:rsid w:val="0CEB7F3E"/>
    <w:rsid w:val="38F0289D"/>
    <w:rsid w:val="563309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Pages>
  <Words>944</Words>
  <Characters>976</Characters>
  <Lines>5</Lines>
  <Paragraphs>1</Paragraphs>
  <TotalTime>37</TotalTime>
  <ScaleCrop>false</ScaleCrop>
  <LinksUpToDate>false</LinksUpToDate>
  <CharactersWithSpaces>993</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 </cp:lastModifiedBy>
  <dcterms:modified xsi:type="dcterms:W3CDTF">2024-09-12T02:02:16Z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91F18488F444429CABE509C6F0AA0C98_12</vt:lpwstr>
  </property>
</Properties>
</file>