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hint="eastAsia" w:ascii="宋体" w:hAnsi="宋体"/>
          <w:sz w:val="44"/>
          <w:szCs w:val="44"/>
        </w:rPr>
      </w:pPr>
      <w:r>
        <w:rPr>
          <w:rFonts w:hint="eastAsia" w:ascii="宋体" w:hAnsi="宋体"/>
          <w:sz w:val="44"/>
          <w:szCs w:val="44"/>
          <w:lang w:eastAsia="zh-CN"/>
        </w:rPr>
        <w:t>民政</w:t>
      </w:r>
      <w:r>
        <w:rPr>
          <w:rFonts w:hint="eastAsia" w:ascii="宋体" w:hAnsi="宋体"/>
          <w:sz w:val="44"/>
          <w:szCs w:val="44"/>
        </w:rPr>
        <w:t>局</w:t>
      </w:r>
      <w:r>
        <w:rPr>
          <w:rFonts w:hint="eastAsia" w:ascii="宋体" w:hAnsi="宋体"/>
          <w:sz w:val="44"/>
          <w:szCs w:val="44"/>
          <w:lang w:eastAsia="zh-CN"/>
        </w:rPr>
        <w:t>追加</w:t>
      </w:r>
      <w:r>
        <w:rPr>
          <w:rFonts w:hint="eastAsia" w:ascii="宋体" w:hAnsi="宋体"/>
          <w:sz w:val="44"/>
          <w:szCs w:val="44"/>
          <w:lang w:val="en-US" w:eastAsia="zh-CN"/>
        </w:rPr>
        <w:t>2018年本级专项扶贫资金</w:t>
      </w:r>
      <w:r>
        <w:rPr>
          <w:rFonts w:hint="eastAsia" w:ascii="宋体" w:hAnsi="宋体"/>
          <w:sz w:val="44"/>
          <w:szCs w:val="44"/>
        </w:rPr>
        <w:t>项目</w:t>
      </w:r>
    </w:p>
    <w:p>
      <w:pPr>
        <w:spacing w:line="360" w:lineRule="auto"/>
        <w:jc w:val="center"/>
        <w:rPr>
          <w:rFonts w:hint="eastAsia" w:ascii="华文楷体" w:eastAsia="华文楷体"/>
          <w:sz w:val="44"/>
          <w:szCs w:val="44"/>
        </w:rPr>
      </w:pPr>
      <w:r>
        <w:rPr>
          <w:rFonts w:hint="eastAsia" w:ascii="宋体" w:hAnsi="宋体"/>
          <w:sz w:val="44"/>
          <w:szCs w:val="44"/>
        </w:rPr>
        <w:t>绩效自评报告</w:t>
      </w:r>
    </w:p>
    <w:p>
      <w:pPr>
        <w:spacing w:line="360" w:lineRule="auto"/>
        <w:jc w:val="center"/>
        <w:rPr>
          <w:rFonts w:hint="eastAsia" w:ascii="仿宋" w:hAnsi="仿宋" w:eastAsia="仿宋" w:cs="仿宋"/>
          <w:sz w:val="32"/>
          <w:szCs w:val="32"/>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根据《藁城区财政局关于开展财政专项资金部门绩效自评价及财政重点绩效评价的工作方案》（藁财【2019】</w:t>
      </w:r>
      <w:r>
        <w:rPr>
          <w:rFonts w:hint="eastAsia" w:ascii="仿宋_GB2312" w:eastAsia="仿宋_GB2312"/>
          <w:sz w:val="32"/>
          <w:szCs w:val="32"/>
          <w:lang w:val="en-US" w:eastAsia="zh-CN"/>
        </w:rPr>
        <w:t>19</w:t>
      </w:r>
      <w:r>
        <w:rPr>
          <w:rFonts w:hint="eastAsia" w:ascii="仿宋_GB2312" w:eastAsia="仿宋_GB2312"/>
          <w:sz w:val="32"/>
          <w:szCs w:val="32"/>
        </w:rPr>
        <w:t>号），遵循“科学性、规范性、客观性和公正性”的原则，对</w:t>
      </w:r>
      <w:r>
        <w:rPr>
          <w:rFonts w:hint="eastAsia" w:ascii="仿宋_GB2312" w:eastAsia="仿宋_GB2312"/>
          <w:sz w:val="32"/>
          <w:szCs w:val="32"/>
          <w:lang w:eastAsia="zh-CN"/>
        </w:rPr>
        <w:t>追加</w:t>
      </w:r>
      <w:r>
        <w:rPr>
          <w:rFonts w:hint="eastAsia" w:ascii="仿宋_GB2312" w:eastAsia="仿宋_GB2312"/>
          <w:sz w:val="32"/>
          <w:szCs w:val="32"/>
          <w:lang w:val="en-US" w:eastAsia="zh-CN"/>
        </w:rPr>
        <w:t>2018年</w:t>
      </w:r>
      <w:r>
        <w:rPr>
          <w:rFonts w:hint="eastAsia" w:ascii="仿宋_GB2312" w:eastAsia="仿宋_GB2312"/>
          <w:sz w:val="32"/>
          <w:szCs w:val="32"/>
        </w:rPr>
        <w:t>本级专项扶贫资金项目实施了绩效评价，形成本评价报告。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eastAsia="仿宋_GB2312"/>
          <w:sz w:val="32"/>
          <w:szCs w:val="32"/>
        </w:rPr>
        <w:t xml:space="preserve"> 1</w:t>
      </w:r>
      <w:r>
        <w:rPr>
          <w:rFonts w:hint="eastAsia" w:ascii="仿宋_GB2312" w:hAnsi="仿宋_GB2312" w:eastAsia="仿宋_GB2312" w:cs="仿宋_GB2312"/>
          <w:sz w:val="32"/>
          <w:szCs w:val="32"/>
          <w:lang w:val="en-US" w:eastAsia="zh-CN"/>
        </w:rPr>
        <w:t>光伏项目立项共有建档立卡贫困户131户，按照每个贫困户3千瓦的标准建设。</w:t>
      </w:r>
    </w:p>
    <w:p>
      <w:pPr>
        <w:ind w:left="0" w:leftChars="0" w:right="0" w:rightChars="0" w:firstLine="640" w:firstLineChars="200"/>
        <w:jc w:val="both"/>
        <w:rPr>
          <w:rFonts w:hint="eastAsia" w:ascii="仿宋_GB2312" w:eastAsia="仿宋_GB2312"/>
          <w:sz w:val="32"/>
          <w:szCs w:val="32"/>
        </w:rPr>
      </w:pPr>
      <w:r>
        <w:rPr>
          <w:rFonts w:hint="eastAsia" w:ascii="仿宋_GB2312" w:eastAsia="仿宋_GB2312"/>
          <w:sz w:val="32"/>
          <w:szCs w:val="32"/>
        </w:rPr>
        <w:t xml:space="preserve"> 2.</w:t>
      </w:r>
      <w:r>
        <w:rPr>
          <w:rFonts w:hint="eastAsia" w:ascii="仿宋_GB2312" w:hAnsi="仿宋_GB2312" w:eastAsia="仿宋_GB2312" w:cs="仿宋_GB2312"/>
          <w:sz w:val="32"/>
          <w:szCs w:val="32"/>
          <w:lang w:val="en-US" w:eastAsia="zh-CN"/>
        </w:rPr>
        <w:t>光伏扶贫项目发电收益全部归建档立卡贫困户所有，原则上每两年审核评议调整一次。除光伏扶贫收益外，稳定达到脱贫标准的建档立卡贫困户，或者贫困人口去世且整户销户的，可及时调整退出收益分配范围，不再享受光伏电站收益，光伏电站收益由政府收回，用于其他贫困户。平均每年每户可增收3000元左右，稳定收益可达到20年。</w:t>
      </w:r>
    </w:p>
    <w:p>
      <w:pPr>
        <w:ind w:right="0" w:rightChars="0" w:firstLine="640" w:firstLineChars="200"/>
        <w:jc w:val="both"/>
        <w:rPr>
          <w:rFonts w:hint="eastAsia" w:ascii="仿宋_GB2312" w:eastAsia="仿宋_GB2312"/>
          <w:sz w:val="32"/>
          <w:szCs w:val="32"/>
        </w:rPr>
      </w:pPr>
      <w:r>
        <w:rPr>
          <w:rFonts w:hint="eastAsia" w:ascii="仿宋_GB2312" w:eastAsia="仿宋_GB2312"/>
          <w:sz w:val="32"/>
          <w:szCs w:val="32"/>
        </w:rPr>
        <w:t xml:space="preserve"> 3.</w:t>
      </w:r>
      <w:r>
        <w:rPr>
          <w:rFonts w:hint="eastAsia" w:ascii="仿宋_GB2312" w:hAnsi="仿宋_GB2312" w:eastAsia="仿宋_GB2312" w:cs="仿宋_GB2312"/>
          <w:sz w:val="32"/>
          <w:szCs w:val="32"/>
          <w:lang w:val="en-US" w:eastAsia="zh-CN"/>
        </w:rPr>
        <w:t>项目共分为3个标段，金额共计2753685.81元，其中省、市扶持我区产业扶贫资金95万元，其余所需资金从本级财政专项扶贫预算资金中解决。</w:t>
      </w:r>
    </w:p>
    <w:p>
      <w:pPr>
        <w:adjustRightInd w:val="0"/>
        <w:snapToGrid w:val="0"/>
        <w:spacing w:line="360" w:lineRule="auto"/>
        <w:ind w:firstLine="800" w:firstLineChars="250"/>
        <w:rPr>
          <w:rFonts w:hint="eastAsia" w:ascii="仿宋_GB2312" w:eastAsia="仿宋_GB2312"/>
          <w:sz w:val="32"/>
          <w:szCs w:val="32"/>
        </w:rPr>
      </w:pPr>
      <w:r>
        <w:rPr>
          <w:rFonts w:hint="eastAsia" w:ascii="仿宋_GB2312" w:eastAsia="仿宋_GB2312"/>
          <w:sz w:val="32"/>
          <w:szCs w:val="32"/>
        </w:rPr>
        <w:t>4.项目实施过程</w:t>
      </w:r>
    </w:p>
    <w:p>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eastAsia="仿宋_GB2312"/>
          <w:sz w:val="32"/>
          <w:szCs w:val="32"/>
        </w:rPr>
        <w:t>（1</w:t>
      </w:r>
      <w:r>
        <w:rPr>
          <w:rFonts w:hint="eastAsia" w:ascii="仿宋_GB2312" w:eastAsia="仿宋_GB2312"/>
          <w:sz w:val="32"/>
          <w:szCs w:val="32"/>
          <w:lang w:eastAsia="zh-CN"/>
        </w:rPr>
        <w:t>）</w:t>
      </w:r>
      <w:r>
        <w:rPr>
          <w:rFonts w:hint="eastAsia" w:ascii="仿宋_GB2312" w:hAnsi="仿宋_GB2312" w:eastAsia="仿宋_GB2312" w:cs="仿宋_GB2312"/>
          <w:sz w:val="32"/>
          <w:szCs w:val="32"/>
          <w:lang w:val="en-US" w:eastAsia="zh-CN"/>
        </w:rPr>
        <w:t>光伏电站以户为单位，贫困户申请（贫困户不会写申请的由村委会代为申请）、村委会评议、乡镇审核、区审批的程序，确定光伏扶贫收益分配对象。</w:t>
      </w:r>
    </w:p>
    <w:p>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户申请。村委会对辖区内建档立卡贫困户进行分类摸底，初步确定符合条件的建档立卡贫困户名单，组织建档立卡贫困户统一提出申请。</w:t>
      </w:r>
    </w:p>
    <w:p>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村评议。召开村民代表大会，对提出申请的建档立卡贫困户进行民主评议，评议结果在村公示栏进行公示，公示时间不少于7天。</w:t>
      </w:r>
    </w:p>
    <w:p>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镇审核。乡（镇）对上报名单进行审核，在乡（镇）公示，公示无异议后将光伏扶贫对象名单统一报区级扶贫部门审批。</w:t>
      </w:r>
    </w:p>
    <w:p>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区审批。区扶贫部门对各乡镇上报的建档立卡贫困户名单汇总，通过互联网、电视、报纸等媒体，公开光伏扶贫政策、光伏扶贫对象和举报电话，公示期不少于7天，公示无异议后由区政府审批。</w:t>
      </w:r>
    </w:p>
    <w:p>
      <w:pPr>
        <w:ind w:left="0" w:leftChars="0" w:right="0" w:rightChars="0" w:firstLine="640" w:firstLineChars="200"/>
        <w:jc w:val="both"/>
        <w:rPr>
          <w:rFonts w:hint="eastAsia" w:ascii="仿宋_GB2312" w:hAnsi="仿宋_GB2312" w:eastAsia="仿宋_GB2312" w:cs="仿宋_GB2312"/>
          <w:sz w:val="32"/>
          <w:szCs w:val="32"/>
          <w:lang w:val="en-US" w:eastAsia="zh-CN"/>
        </w:rPr>
      </w:pPr>
      <w:r>
        <w:rPr>
          <w:rFonts w:hint="eastAsia" w:ascii="仿宋_GB2312" w:eastAsia="仿宋_GB2312"/>
          <w:sz w:val="32"/>
          <w:szCs w:val="32"/>
        </w:rPr>
        <w:t>（2）</w:t>
      </w:r>
      <w:r>
        <w:rPr>
          <w:rFonts w:hint="eastAsia" w:ascii="仿宋_GB2312" w:hAnsi="仿宋_GB2312" w:eastAsia="仿宋_GB2312" w:cs="仿宋_GB2312"/>
          <w:sz w:val="32"/>
          <w:szCs w:val="32"/>
          <w:lang w:val="en-US" w:eastAsia="zh-CN"/>
        </w:rPr>
        <w:t>建立完善收益分配档案。区扶贫办建立光伏扶贫收益扶贫对象分配人员信息档案，纳入扶贫信息管理大数据平台进行监督管理。</w:t>
      </w:r>
    </w:p>
    <w:p>
      <w:pPr>
        <w:adjustRightInd w:val="0"/>
        <w:snapToGrid w:val="0"/>
        <w:spacing w:line="360" w:lineRule="auto"/>
        <w:rPr>
          <w:rFonts w:hint="eastAsia"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ind w:firstLine="660"/>
        <w:rPr>
          <w:rFonts w:hint="eastAsia" w:ascii="仿宋_GB2312" w:eastAsia="仿宋_GB2312"/>
          <w:sz w:val="32"/>
          <w:szCs w:val="32"/>
          <w:lang w:eastAsia="zh-CN"/>
        </w:rPr>
      </w:pPr>
      <w:r>
        <w:rPr>
          <w:rFonts w:hint="eastAsia" w:ascii="仿宋_GB2312" w:eastAsia="仿宋_GB2312"/>
          <w:sz w:val="32"/>
          <w:szCs w:val="32"/>
        </w:rPr>
        <w:t>建档立卡贫困人口发展扶贫产业，增加收入，达到稳定脱贫</w:t>
      </w:r>
      <w:r>
        <w:rPr>
          <w:rFonts w:hint="eastAsia" w:ascii="仿宋_GB2312" w:eastAsia="仿宋_GB2312"/>
          <w:sz w:val="32"/>
          <w:szCs w:val="32"/>
          <w:lang w:eastAsia="zh-CN"/>
        </w:rPr>
        <w:t>。</w:t>
      </w:r>
    </w:p>
    <w:p>
      <w:pPr>
        <w:ind w:firstLine="660"/>
        <w:rPr>
          <w:rFonts w:hint="eastAsia" w:ascii="黑体" w:hAnsi="黑体" w:eastAsia="黑体" w:cs="黑体"/>
          <w:sz w:val="32"/>
          <w:szCs w:val="32"/>
        </w:rPr>
      </w:pPr>
      <w:r>
        <w:rPr>
          <w:rFonts w:hint="eastAsia" w:ascii="黑体" w:hAnsi="黑体" w:eastAsia="黑体" w:cs="黑体"/>
          <w:sz w:val="32"/>
          <w:szCs w:val="32"/>
        </w:rPr>
        <w:t>二、绩效评价工作情况</w:t>
      </w:r>
    </w:p>
    <w:p>
      <w:pPr>
        <w:ind w:firstLine="633" w:firstLineChars="198"/>
        <w:rPr>
          <w:rFonts w:hint="eastAsia" w:ascii="仿宋_GB2312" w:eastAsia="仿宋_GB2312"/>
          <w:sz w:val="32"/>
          <w:szCs w:val="32"/>
        </w:rPr>
      </w:pPr>
      <w:r>
        <w:rPr>
          <w:rFonts w:hint="eastAsia" w:ascii="仿宋_GB2312" w:eastAsia="仿宋_GB2312"/>
          <w:sz w:val="32"/>
          <w:szCs w:val="32"/>
        </w:rPr>
        <w:t>健全绩效问题整改责任制，及时对绩效评价中发现的问题进行认真研究，强化改进措施，补齐管理短板，提高预算项目和资金管理水平，进一步提高财政资金的使用效益。</w:t>
      </w:r>
    </w:p>
    <w:p>
      <w:pPr>
        <w:ind w:firstLine="633" w:firstLineChars="198"/>
        <w:rPr>
          <w:rFonts w:hint="eastAsia" w:ascii="黑体" w:hAnsi="黑体" w:eastAsia="黑体" w:cs="黑体"/>
          <w:sz w:val="32"/>
          <w:szCs w:val="32"/>
        </w:rPr>
      </w:pPr>
      <w:r>
        <w:rPr>
          <w:rFonts w:hint="eastAsia" w:ascii="黑体" w:hAnsi="黑体" w:eastAsia="黑体" w:cs="黑体"/>
          <w:sz w:val="32"/>
          <w:szCs w:val="32"/>
        </w:rPr>
        <w:t>三、项目执行及绩效实际情况</w:t>
      </w:r>
    </w:p>
    <w:p>
      <w:pPr>
        <w:ind w:firstLine="633" w:firstLineChars="198"/>
        <w:rPr>
          <w:rFonts w:hint="eastAsia" w:ascii="仿宋_GB2312" w:eastAsia="仿宋_GB2312"/>
          <w:sz w:val="32"/>
          <w:szCs w:val="32"/>
        </w:rPr>
      </w:pPr>
      <w:r>
        <w:rPr>
          <w:rFonts w:hint="eastAsia" w:ascii="楷体_GB2312" w:hAnsi="楷体_GB2312" w:eastAsia="楷体_GB2312" w:cs="楷体_GB2312"/>
          <w:sz w:val="32"/>
          <w:szCs w:val="32"/>
        </w:rPr>
        <w:t>（一）产出指标完成情况分析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1、光伏扶贫项目验收合格率</w:t>
      </w:r>
      <w:r>
        <w:rPr>
          <w:rFonts w:hint="eastAsia" w:ascii="仿宋_GB2312" w:eastAsia="仿宋_GB2312"/>
          <w:sz w:val="32"/>
          <w:szCs w:val="32"/>
          <w:lang w:val="en-US" w:eastAsia="zh-CN"/>
        </w:rPr>
        <w:t>100%。</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2、村级光伏扶贫电站并网发电及时完成率</w:t>
      </w:r>
      <w:r>
        <w:rPr>
          <w:rFonts w:hint="eastAsia" w:ascii="仿宋_GB2312" w:eastAsia="仿宋_GB2312"/>
          <w:sz w:val="32"/>
          <w:szCs w:val="32"/>
          <w:lang w:val="en-US" w:eastAsia="zh-CN"/>
        </w:rPr>
        <w:t>100%。</w:t>
      </w:r>
    </w:p>
    <w:p>
      <w:pPr>
        <w:rPr>
          <w:rFonts w:hint="eastAsia"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（二）效益指标完成情况分析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rPr>
        <w:t>受益建档立卡贫困人口数</w:t>
      </w:r>
      <w:r>
        <w:rPr>
          <w:rFonts w:hint="eastAsia" w:ascii="仿宋_GB2312" w:eastAsia="仿宋_GB2312"/>
          <w:sz w:val="32"/>
          <w:szCs w:val="32"/>
          <w:lang w:val="en-US" w:eastAsia="zh-CN"/>
        </w:rPr>
        <w:t>313人。</w:t>
      </w:r>
    </w:p>
    <w:p>
      <w:pPr>
        <w:ind w:firstLine="640" w:firstLineChars="200"/>
        <w:rPr>
          <w:rFonts w:hint="eastAsia" w:ascii="仿宋_GB2312" w:eastAsia="仿宋_GB2312"/>
          <w:sz w:val="32"/>
          <w:szCs w:val="32"/>
          <w:lang w:eastAsia="zh-CN"/>
        </w:rPr>
      </w:pPr>
      <w:r>
        <w:rPr>
          <w:rFonts w:hint="eastAsia" w:ascii="仿宋_GB2312" w:eastAsia="仿宋_GB2312"/>
          <w:sz w:val="32"/>
          <w:szCs w:val="32"/>
        </w:rPr>
        <w:t>（三）满意度指标完成情况分析</w:t>
      </w:r>
    </w:p>
    <w:p>
      <w:pPr>
        <w:ind w:firstLine="640" w:firstLineChars="200"/>
        <w:rPr>
          <w:rFonts w:hint="default" w:ascii="仿宋_GB2312" w:eastAsia="仿宋_GB2312"/>
          <w:sz w:val="32"/>
          <w:szCs w:val="32"/>
          <w:lang w:val="en-US" w:eastAsia="zh-CN"/>
        </w:rPr>
      </w:pPr>
      <w:r>
        <w:rPr>
          <w:rFonts w:hint="eastAsia" w:ascii="仿宋_GB2312" w:eastAsia="仿宋_GB2312"/>
          <w:sz w:val="32"/>
          <w:szCs w:val="32"/>
          <w:lang w:eastAsia="zh-CN"/>
        </w:rPr>
        <w:t>参与光伏扶贫的贫困人口满意度</w:t>
      </w:r>
      <w:r>
        <w:rPr>
          <w:rFonts w:hint="eastAsia" w:ascii="仿宋_GB2312" w:eastAsia="仿宋_GB2312"/>
          <w:sz w:val="32"/>
          <w:szCs w:val="32"/>
          <w:lang w:val="en-US" w:eastAsia="zh-CN"/>
        </w:rPr>
        <w:t>100%。</w:t>
      </w:r>
    </w:p>
    <w:p>
      <w:pPr>
        <w:ind w:firstLine="640" w:firstLineChars="200"/>
        <w:rPr>
          <w:rFonts w:hint="eastAsia"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通过扶贫办牵头，协调组织有关部门，按职责分工，依据藁城区产业扶贫实际情况，本着客观、科学、正确监测的原则，全面评价我区的产业扶贫工作，藁城区产业扶贫自评成绩为优秀。</w:t>
      </w:r>
    </w:p>
    <w:p>
      <w:pPr>
        <w:ind w:firstLine="640" w:firstLineChars="200"/>
        <w:rPr>
          <w:rFonts w:hint="eastAsia" w:ascii="仿宋_GB2312" w:eastAsia="仿宋_GB2312"/>
          <w:sz w:val="32"/>
          <w:szCs w:val="32"/>
        </w:rPr>
      </w:pPr>
      <w:r>
        <w:rPr>
          <w:rFonts w:hint="eastAsia" w:ascii="黑体" w:hAnsi="黑体" w:eastAsia="黑体"/>
          <w:sz w:val="32"/>
          <w:szCs w:val="32"/>
        </w:rPr>
        <w:t>五、存在的问题及改进措施</w:t>
      </w:r>
    </w:p>
    <w:p>
      <w:pPr>
        <w:spacing w:line="600" w:lineRule="exact"/>
        <w:rPr>
          <w:rFonts w:hint="eastAsia" w:ascii="仿宋_GB2312" w:hAnsi="仿宋_GB2312" w:eastAsia="仿宋_GB2312" w:cs="仿宋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b/>
          <w:bCs/>
          <w:sz w:val="32"/>
          <w:szCs w:val="32"/>
          <w:lang w:val="en-US" w:eastAsia="zh-CN"/>
        </w:rPr>
        <w:t xml:space="preserve"> </w:t>
      </w:r>
      <w:r>
        <w:rPr>
          <w:rFonts w:hint="eastAsia" w:ascii="仿宋_GB2312" w:hAnsi="仿宋_GB2312" w:eastAsia="仿宋_GB2312" w:cs="仿宋_GB2312"/>
          <w:sz w:val="32"/>
          <w:szCs w:val="32"/>
        </w:rPr>
        <w:t>1、个别单位扶贫工作重视程度不够，力度有待加强，存在畏难情绪，导致脱贫攻坚工作进展缓慢，工作完成质量不高。我区已开展扶贫领域腐败和工作作风问题专项治理行动，落实管党治党政治责任，对扶贫领域腐败和作风问题有报必查，追究到底。</w:t>
      </w:r>
    </w:p>
    <w:p>
      <w:pPr>
        <w:spacing w:line="600" w:lineRule="exac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2、继续压实工作责任。区委、区政府每月至少召开一次会议，研究脱贫攻坚工作。各乡镇党委、政府、脱贫攻坚领导小组成员单位切实履行脱贫攻坚主体责任。</w:t>
      </w:r>
    </w:p>
    <w:p>
      <w:pPr>
        <w:spacing w:line="600" w:lineRule="exact"/>
        <w:rPr>
          <w:rFonts w:hint="eastAsia" w:ascii="楷体_GB2312" w:hAnsi="楷体_GB2312" w:eastAsia="楷体_GB2312"/>
          <w:sz w:val="32"/>
          <w:szCs w:val="32"/>
        </w:rPr>
      </w:pPr>
      <w:r>
        <w:rPr>
          <w:rFonts w:hint="eastAsia" w:ascii="仿宋_GB2312" w:hAnsi="仿宋_GB2312" w:eastAsia="仿宋_GB2312" w:cs="仿宋_GB2312"/>
          <w:sz w:val="32"/>
          <w:szCs w:val="32"/>
        </w:rPr>
        <w:t xml:space="preserve">    3、加强督导检查，严肃追责问责。由组织、纪检部门牵头定期、不定期对各乡镇、各部门脱贫攻坚工作任务落实情况进行督导检查，严肃追责问责。</w:t>
      </w:r>
    </w:p>
    <w:p>
      <w:pPr>
        <w:adjustRightInd w:val="0"/>
        <w:snapToGrid w:val="0"/>
        <w:spacing w:line="360" w:lineRule="auto"/>
        <w:ind w:firstLine="640" w:firstLineChars="200"/>
        <w:rPr>
          <w:rFonts w:hint="eastAsia" w:ascii="黑体" w:eastAsia="黑体"/>
          <w:sz w:val="32"/>
          <w:szCs w:val="32"/>
        </w:rPr>
      </w:pPr>
      <w:bookmarkStart w:id="0" w:name="_GoBack"/>
      <w:bookmarkEnd w:id="0"/>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eastAsia" w:ascii="黑体" w:eastAsia="黑体"/>
          <w:sz w:val="32"/>
          <w:szCs w:val="32"/>
        </w:rPr>
      </w:pPr>
    </w:p>
    <w:p>
      <w:pPr>
        <w:adjustRightInd w:val="0"/>
        <w:snapToGrid w:val="0"/>
        <w:spacing w:line="360" w:lineRule="auto"/>
        <w:ind w:firstLine="640" w:firstLineChars="200"/>
        <w:rPr>
          <w:rFonts w:hint="default" w:ascii="仿宋_GB2312" w:hAnsi="仿宋_GB2312" w:eastAsia="仿宋_GB2312" w:cs="仿宋_GB2312"/>
          <w:sz w:val="32"/>
          <w:szCs w:val="32"/>
          <w:lang w:val="en-US" w:eastAsia="zh-CN"/>
        </w:rPr>
      </w:pPr>
      <w:r>
        <w:rPr>
          <w:rFonts w:hint="eastAsia" w:ascii="黑体" w:eastAsia="黑体"/>
          <w:sz w:val="32"/>
          <w:szCs w:val="32"/>
          <w:lang w:val="en-US" w:eastAsia="zh-CN"/>
        </w:rPr>
        <w:t xml:space="preserve">                              </w:t>
      </w:r>
      <w:r>
        <w:rPr>
          <w:rFonts w:hint="eastAsia" w:ascii="仿宋_GB2312" w:hAnsi="仿宋_GB2312" w:eastAsia="仿宋_GB2312" w:cs="仿宋_GB2312"/>
          <w:sz w:val="32"/>
          <w:szCs w:val="32"/>
          <w:lang w:val="en-US" w:eastAsia="zh-CN"/>
        </w:rPr>
        <w:t>2019年9月26日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24A5F9D"/>
    <w:rsid w:val="247645C7"/>
    <w:rsid w:val="360D6384"/>
    <w:rsid w:val="39784E5C"/>
    <w:rsid w:val="39E67E92"/>
    <w:rsid w:val="42EA5BF8"/>
    <w:rsid w:val="4B483B50"/>
    <w:rsid w:val="587835CD"/>
    <w:rsid w:val="60F77724"/>
    <w:rsid w:val="6CB01BCA"/>
    <w:rsid w:val="6D6A0C07"/>
    <w:rsid w:val="736315CA"/>
    <w:rsid w:val="7A91505E"/>
    <w:rsid w:val="7CE6747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uiPriority w:val="1"/>
  </w:style>
  <w:style w:type="table" w:default="1" w:styleId="2">
    <w:name w:val="Normal Table"/>
    <w:semiHidden/>
    <w:unhideWhenUsed/>
    <w:uiPriority w:val="99"/>
    <w:tblPr>
      <w:tblLayout w:type="fixed"/>
      <w:tblCellMar>
        <w:top w:w="0" w:type="dxa"/>
        <w:left w:w="108" w:type="dxa"/>
        <w:bottom w:w="0" w:type="dxa"/>
        <w:right w:w="108" w:type="dxa"/>
      </w:tblCellMar>
    </w:tblPr>
  </w:style>
  <w:style w:type="paragraph" w:customStyle="1" w:styleId="4">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3</TotalTime>
  <ScaleCrop>false</ScaleCrop>
  <LinksUpToDate>false</LinksUpToDate>
  <CharactersWithSpaces>822</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Administrator</cp:lastModifiedBy>
  <cp:lastPrinted>2019-09-26T08:41:00Z</cp:lastPrinted>
  <dcterms:modified xsi:type="dcterms:W3CDTF">2020-05-26T09:59:36Z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