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华文楷体" w:eastAsia="华文楷体"/>
          <w:sz w:val="32"/>
          <w:szCs w:val="32"/>
        </w:rPr>
      </w:pPr>
      <w:r>
        <w:rPr>
          <w:rFonts w:hint="eastAsia" w:ascii="宋体" w:hAnsi="宋体"/>
          <w:sz w:val="36"/>
          <w:szCs w:val="36"/>
          <w:lang w:eastAsia="zh-CN"/>
        </w:rPr>
        <w:t>藁城区国土资源</w:t>
      </w:r>
      <w:r>
        <w:rPr>
          <w:rFonts w:hint="eastAsia" w:ascii="宋体" w:hAnsi="宋体"/>
          <w:sz w:val="36"/>
          <w:szCs w:val="36"/>
        </w:rPr>
        <w:t>局</w:t>
      </w:r>
      <w:r>
        <w:rPr>
          <w:rFonts w:hint="eastAsia" w:ascii="宋体" w:hAnsi="宋体"/>
          <w:sz w:val="36"/>
          <w:szCs w:val="36"/>
          <w:lang w:eastAsia="zh-CN"/>
        </w:rPr>
        <w:t>藁城区全区永久基本农田划定工作</w:t>
      </w:r>
      <w:r>
        <w:rPr>
          <w:rFonts w:hint="eastAsia" w:ascii="宋体" w:hAnsi="宋体"/>
          <w:sz w:val="36"/>
          <w:szCs w:val="36"/>
        </w:rPr>
        <w:t>项目</w:t>
      </w:r>
      <w:r>
        <w:rPr>
          <w:rFonts w:hint="eastAsia" w:ascii="宋体" w:hAnsi="宋体"/>
          <w:sz w:val="36"/>
          <w:szCs w:val="36"/>
          <w:lang w:val="en-US" w:eastAsia="zh-CN"/>
        </w:rPr>
        <w:t>2018</w:t>
      </w:r>
      <w:r>
        <w:rPr>
          <w:rFonts w:hint="eastAsia" w:ascii="宋体" w:hAnsi="宋体"/>
          <w:sz w:val="36"/>
          <w:szCs w:val="36"/>
        </w:rPr>
        <w:t>年度绩效自评报告</w:t>
      </w:r>
    </w:p>
    <w:p>
      <w:pPr>
        <w:adjustRightInd w:val="0"/>
        <w:snapToGrid w:val="0"/>
        <w:spacing w:line="360" w:lineRule="auto"/>
        <w:ind w:firstLine="640" w:firstLineChars="200"/>
        <w:rPr>
          <w:rFonts w:hint="eastAsia" w:ascii="黑体" w:eastAsia="黑体"/>
          <w:b/>
          <w:bCs/>
          <w:sz w:val="32"/>
          <w:szCs w:val="36"/>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w:t>
      </w:r>
      <w:r>
        <w:rPr>
          <w:rFonts w:hint="eastAsia" w:ascii="仿宋_GB2312" w:hAnsi="Times New Roman" w:eastAsia="仿宋_GB2312" w:cs="Times New Roman"/>
          <w:sz w:val="32"/>
          <w:szCs w:val="32"/>
        </w:rPr>
        <w:t>对</w:t>
      </w:r>
      <w:r>
        <w:rPr>
          <w:rFonts w:hint="eastAsia" w:ascii="仿宋_GB2312" w:hAnsi="Times New Roman" w:eastAsia="仿宋_GB2312" w:cs="Times New Roman"/>
          <w:sz w:val="32"/>
          <w:szCs w:val="32"/>
          <w:lang w:eastAsia="zh-CN"/>
        </w:rPr>
        <w:t>藁城区全区永久基本农田划定工作</w:t>
      </w:r>
      <w:r>
        <w:rPr>
          <w:rFonts w:hint="eastAsia" w:ascii="仿宋_GB2312" w:hAnsi="Times New Roman" w:eastAsia="仿宋_GB2312" w:cs="Times New Roman"/>
          <w:sz w:val="32"/>
          <w:szCs w:val="32"/>
        </w:rPr>
        <w:t>项</w:t>
      </w:r>
      <w:r>
        <w:rPr>
          <w:rFonts w:hint="eastAsia" w:ascii="仿宋_GB2312" w:eastAsia="仿宋_GB2312"/>
          <w:sz w:val="32"/>
          <w:szCs w:val="32"/>
        </w:rPr>
        <w:t>目实施了绩效评价，形成本评价报告。</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00" w:firstLineChars="200"/>
        <w:rPr>
          <w:rFonts w:hint="eastAsia" w:ascii="仿宋_GB2312" w:eastAsia="仿宋_GB2312"/>
          <w:sz w:val="30"/>
          <w:szCs w:val="30"/>
        </w:rPr>
      </w:pPr>
      <w:r>
        <w:rPr>
          <w:rFonts w:hint="eastAsia" w:ascii="仿宋_GB2312" w:eastAsia="仿宋_GB2312"/>
          <w:sz w:val="30"/>
          <w:szCs w:val="30"/>
        </w:rPr>
        <w:t>根据《国土资源部  农业部关于进一步做好永久基本农田划定工作的通知》（国土资发〔2014〕128号）、河北省国土资源厅河北省农业厅关于印发《永久基本农田划定工作方案》的通知（冀国土资办字[2014]71号），《国土资源部办公厅 农业部办公厅关于切实做好106个重点城市周边永久基本农田划定工作有关事项的通知》（国土资发〔2015〕14号）、河北省国土资源厅河北省农业厅关于切实做好永久基本农田划定工作的工作（冀国土资办字[2015]47号）等文件要求，需在基本农田划定成果的基础上开展藁城区城市周边及交通沿线划定初步任务核实举证以及藁城全区永久基本农田划定工作。</w:t>
      </w:r>
    </w:p>
    <w:p>
      <w:pPr>
        <w:adjustRightInd w:val="0"/>
        <w:snapToGrid w:val="0"/>
        <w:spacing w:line="360" w:lineRule="auto"/>
        <w:ind w:firstLine="600" w:firstLineChars="200"/>
        <w:rPr>
          <w:rFonts w:hint="eastAsia" w:ascii="仿宋_GB2312" w:hAnsi="Times New Roman" w:eastAsia="仿宋_GB2312" w:cs="Times New Roman"/>
          <w:sz w:val="30"/>
          <w:szCs w:val="30"/>
          <w:lang w:eastAsia="zh-CN"/>
        </w:rPr>
      </w:pPr>
      <w:bookmarkStart w:id="0" w:name="_Toc10418"/>
      <w:bookmarkStart w:id="1" w:name="_Toc31490"/>
      <w:r>
        <w:rPr>
          <w:rFonts w:hint="eastAsia" w:ascii="仿宋_GB2312" w:hAnsi="Times New Roman" w:eastAsia="仿宋_GB2312" w:cs="Times New Roman"/>
          <w:sz w:val="30"/>
          <w:szCs w:val="30"/>
          <w:lang w:eastAsia="zh-CN"/>
        </w:rPr>
        <w:t>为认真贯彻落实国土资源部农业部《关于全面划定永久基本农田实行特殊保护的通知》(国土资规(2016]10号)，根据《国土资源部农业部关于进一步做好永久基本农田划定工作的通知》（国土资发〔2014）128号）要求，规范地完成藁城区域未划为永久基本农田的耕地调查模底、核实举证、论证核定、方案制定、全区永久基本农田划定组织实施、成果验收备案等工作。</w:t>
      </w:r>
    </w:p>
    <w:bookmarkEnd w:id="0"/>
    <w:bookmarkEnd w:id="1"/>
    <w:p>
      <w:pPr>
        <w:adjustRightInd w:val="0"/>
        <w:snapToGrid w:val="0"/>
        <w:spacing w:line="360" w:lineRule="auto"/>
        <w:ind w:firstLine="600" w:firstLineChars="200"/>
        <w:rPr>
          <w:rFonts w:hint="eastAsia" w:ascii="仿宋_GB2312" w:eastAsia="仿宋_GB2312"/>
          <w:sz w:val="30"/>
          <w:szCs w:val="30"/>
          <w:lang w:eastAsia="zh-CN"/>
        </w:rPr>
      </w:pPr>
      <w:r>
        <w:rPr>
          <w:rFonts w:hint="eastAsia" w:ascii="仿宋_GB2312" w:eastAsia="仿宋_GB2312"/>
          <w:sz w:val="30"/>
          <w:szCs w:val="30"/>
          <w:lang w:eastAsia="zh-CN"/>
        </w:rPr>
        <w:t>石家庄市藁城区全区永久基本农田划定工作，根据《中华人民共和国政府采购法》相关规定进行竞争性谈判，确定项目实施单位石家庄汇城土地勘测有限公司。</w:t>
      </w:r>
    </w:p>
    <w:p>
      <w:pPr>
        <w:numPr>
          <w:ilvl w:val="0"/>
          <w:numId w:val="0"/>
        </w:numPr>
        <w:adjustRightInd w:val="0"/>
        <w:snapToGrid w:val="0"/>
        <w:spacing w:line="360" w:lineRule="auto"/>
        <w:ind w:left="800" w:leftChars="0"/>
        <w:rPr>
          <w:rFonts w:hint="eastAsia" w:ascii="仿宋_GB2312" w:eastAsia="仿宋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二</w:t>
      </w:r>
      <w:r>
        <w:rPr>
          <w:rFonts w:hint="eastAsia" w:ascii="楷体_GB2312" w:hAnsi="楷体_GB2312" w:eastAsia="楷体_GB2312" w:cs="楷体_GB2312"/>
          <w:sz w:val="32"/>
          <w:szCs w:val="32"/>
        </w:rPr>
        <w:t>）</w:t>
      </w:r>
      <w:r>
        <w:rPr>
          <w:rFonts w:hint="eastAsia" w:ascii="仿宋_GB2312" w:eastAsia="仿宋_GB2312"/>
          <w:sz w:val="32"/>
          <w:szCs w:val="32"/>
        </w:rPr>
        <w:t>项目主要实施内容和范围；</w:t>
      </w:r>
      <w:bookmarkStart w:id="2" w:name="_Toc980_WPSOffice_Level2"/>
      <w:bookmarkStart w:id="3" w:name="_Toc4355_WPSOffice_Level2"/>
      <w:bookmarkStart w:id="4" w:name="_Toc5822_WPSOffice_Level2"/>
      <w:bookmarkStart w:id="5" w:name="_Toc7763_WPSOffice_Level2"/>
    </w:p>
    <w:bookmarkEnd w:id="2"/>
    <w:bookmarkEnd w:id="3"/>
    <w:bookmarkEnd w:id="4"/>
    <w:bookmarkEnd w:id="5"/>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1、依据河北省国土资源厅、河北省农业厅文件（冀国土资办字[2015]47号），开展永久基本农田划定工作。优先划定城市周边永久基本农田，依据省厅下达的划定任务，运用2014年土地变更调查数据库、结合2015年遥感影像，以及总体规划数据，开展核实举证工作，形成最终划定任务数据。</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2、同步开展县级城市周边及交通沿线永久基本农田划定工作。依据省国土资源厅下达的划定任务，开展城市周边及交通沿线永久基本农田划定核实举证工作。</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3、 编制划定方案。以上级分解下达的永久基本农田保护任务为目标，以全域已有基本农田数量、质量和布局情况为基础，积极开展划定工作，编制全域永久基本农田划定方案，包括城市（镇）周边永久基本农田划定任务落实情况、全域永久基本农田划定情况（包括数量、质量、布局、地类、落实到图斑地块等）、划入划出情况及依据等。</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4、论证审核。按照“完成一批、上报一批、审核一批”的方式，开展划定方案的论证审核工作。各级规划调整方案报批前，应先行完成同级永久基本农田划定方案论证审核，论证审核通过的，出具审核意见，作为规划调整方案报批的必备要件；论证审核未通过的，上级政府不得批准下级规划。市县两级永久基本农田划定方案编制与论证审核工作同步开展。</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5、全区永久基本农田划定。依据论证通过的永久基本农田划定方案，开展全区永久基本农田划定工作：</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6、落实地块。明确基本农田的地块边界、地类、面积、质量等级信息</w:t>
      </w:r>
      <w:r>
        <w:rPr>
          <w:rFonts w:hint="eastAsia" w:ascii="仿宋_GB2312" w:hAnsi="Times New Roman" w:eastAsia="仿宋_GB2312" w:cs="Times New Roman"/>
          <w:color w:val="auto"/>
          <w:kern w:val="2"/>
          <w:sz w:val="30"/>
          <w:szCs w:val="30"/>
          <w:lang w:val="en-US" w:eastAsia="zh-CN" w:bidi="ar-SA"/>
        </w:rPr>
        <w:t>以及片（块）编号</w:t>
      </w:r>
      <w:r>
        <w:rPr>
          <w:rFonts w:hint="eastAsia" w:ascii="仿宋_GB2312" w:hAnsi="Times New Roman" w:eastAsia="仿宋_GB2312" w:cs="Times New Roman"/>
          <w:kern w:val="2"/>
          <w:sz w:val="30"/>
          <w:szCs w:val="30"/>
          <w:lang w:val="en-US" w:eastAsia="zh-CN" w:bidi="ar-SA"/>
        </w:rPr>
        <w:t>。</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7、明确责任。将保护责任落实到村，责任书要签订：县级人</w:t>
      </w:r>
      <w:bookmarkStart w:id="92" w:name="_GoBack"/>
      <w:bookmarkEnd w:id="92"/>
      <w:r>
        <w:rPr>
          <w:rFonts w:hint="eastAsia" w:ascii="仿宋_GB2312" w:hAnsi="Times New Roman" w:eastAsia="仿宋_GB2312" w:cs="Times New Roman"/>
          <w:kern w:val="2"/>
          <w:sz w:val="30"/>
          <w:szCs w:val="30"/>
          <w:lang w:val="en-US" w:eastAsia="zh-CN" w:bidi="ar-SA"/>
        </w:rPr>
        <w:t>民政府到乡级人民政府、乡级人民政府到村级人民政府。</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8、建立表册。按《基本农田划定技术规程》（以最新版本为准）规定编制乡级永久基本农田保护图、县级永久基本农田保护区分布图，完善永久基本农田现状登记表、调整划定平衡表、保护责任一览表册。</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9、上图入库。以采用与2014年度土地变更调查一致的行政区域，以2014年变更调查数据库、2012年省级备案的规划基本农田保护区为基础基期数据，将基本农田保护图、表、册等内容纳入数据库管理，依据两部修订后的数据库标准建立永久基本农田数据库，并通过国家统一指定的质检软件检查最终上报省厅。</w:t>
      </w:r>
    </w:p>
    <w:p>
      <w:pPr>
        <w:pStyle w:val="9"/>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firstLine="600" w:firstLineChars="200"/>
        <w:jc w:val="left"/>
        <w:textAlignment w:val="auto"/>
        <w:outlineLvl w:val="9"/>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10、依据国土资源部、农业部文件，开展藁城区城市周边核实举证及全区永久基本农田划定工作，最终实现上图入库、落实责任，确保划足、划优、划实，实现定量、定质、定位、定责保护，划准、管住、建好、宁牢永久基本农田。</w:t>
      </w:r>
    </w:p>
    <w:p>
      <w:pPr>
        <w:numPr>
          <w:ilvl w:val="0"/>
          <w:numId w:val="0"/>
        </w:numPr>
        <w:adjustRightInd w:val="0"/>
        <w:snapToGrid w:val="0"/>
        <w:spacing w:line="360" w:lineRule="auto"/>
        <w:ind w:firstLine="640" w:firstLineChars="200"/>
        <w:rPr>
          <w:rFonts w:hint="eastAsia" w:ascii="仿宋_GB2312" w:eastAsia="仿宋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三</w:t>
      </w:r>
      <w:r>
        <w:rPr>
          <w:rFonts w:hint="eastAsia" w:ascii="楷体_GB2312" w:hAnsi="楷体_GB2312" w:eastAsia="楷体_GB2312" w:cs="楷体_GB2312"/>
          <w:sz w:val="32"/>
          <w:szCs w:val="32"/>
        </w:rPr>
        <w:t>）</w:t>
      </w:r>
      <w:r>
        <w:rPr>
          <w:rFonts w:hint="eastAsia" w:ascii="仿宋_GB2312" w:eastAsia="仿宋_GB2312"/>
          <w:sz w:val="32"/>
          <w:szCs w:val="32"/>
        </w:rPr>
        <w:t>项目资金投入情况</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 xml:space="preserve">1、前期准备工作 工作实施方案编制、人员培训 </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2、石家庄市城市周边涉及藁城区划定任务核实举证材料整理汇总</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3、藁城市城市（镇）周边及交通沿线划定初步任务举证材料整理汇总</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4、现状基本农田调出</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5、外业补充调查与评价</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6、永久基本农田数据库建设、成果编制。</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Times New Roman" w:eastAsia="仿宋_GB2312" w:cs="Times New Roman"/>
          <w:kern w:val="2"/>
          <w:sz w:val="30"/>
          <w:szCs w:val="30"/>
          <w:lang w:val="en-US" w:eastAsia="zh-CN" w:bidi="ar-SA"/>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四</w:t>
      </w:r>
      <w:r>
        <w:rPr>
          <w:rFonts w:hint="eastAsia" w:ascii="楷体_GB2312" w:hAnsi="楷体_GB2312" w:eastAsia="楷体_GB2312" w:cs="楷体_GB2312"/>
          <w:sz w:val="32"/>
          <w:szCs w:val="32"/>
        </w:rPr>
        <w:t>）</w:t>
      </w:r>
      <w:r>
        <w:rPr>
          <w:rFonts w:hint="eastAsia" w:ascii="仿宋_GB2312" w:hAnsi="Times New Roman" w:eastAsia="仿宋_GB2312" w:cs="Times New Roman"/>
          <w:kern w:val="2"/>
          <w:sz w:val="30"/>
          <w:szCs w:val="30"/>
          <w:lang w:val="en-US" w:eastAsia="zh-CN" w:bidi="ar-SA"/>
        </w:rPr>
        <w:t>项目实施过程</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 xml:space="preserve">在项目执行前，所有参与作业人员即可到位，同时可方便对作业现场人员进行调配，不会出现项目开展过程中人员不足现象。 </w:t>
      </w:r>
      <w:bookmarkStart w:id="6" w:name="_Toc7239"/>
      <w:bookmarkStart w:id="7" w:name="_Toc417735404"/>
      <w:bookmarkStart w:id="8" w:name="_Toc24862"/>
      <w:bookmarkStart w:id="9" w:name="_Toc3223"/>
      <w:bookmarkStart w:id="10" w:name="_Toc28481"/>
      <w:bookmarkStart w:id="11" w:name="_Toc9459"/>
      <w:bookmarkStart w:id="12" w:name="_Toc417631263"/>
      <w:bookmarkStart w:id="13" w:name="_Toc21999"/>
      <w:bookmarkStart w:id="14" w:name="_Toc22096"/>
      <w:bookmarkStart w:id="15" w:name="_Toc19334_WPSOffice_Level3"/>
      <w:bookmarkStart w:id="16" w:name="_Toc404763300"/>
      <w:bookmarkStart w:id="17" w:name="_Toc10513"/>
      <w:bookmarkStart w:id="18" w:name="_Toc396727794"/>
      <w:bookmarkStart w:id="19" w:name="_Toc25009"/>
      <w:bookmarkStart w:id="20" w:name="_Toc405281734"/>
      <w:bookmarkStart w:id="21" w:name="_Toc23324"/>
      <w:bookmarkStart w:id="22" w:name="_Toc295577807"/>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1、总体进度计划</w:t>
      </w:r>
      <w:bookmarkEnd w:id="6"/>
      <w:bookmarkEnd w:id="7"/>
      <w:bookmarkEnd w:id="8"/>
      <w:bookmarkEnd w:id="9"/>
      <w:bookmarkEnd w:id="10"/>
      <w:bookmarkEnd w:id="11"/>
      <w:bookmarkEnd w:id="12"/>
      <w:bookmarkEnd w:id="13"/>
      <w:bookmarkEnd w:id="14"/>
      <w:bookmarkEnd w:id="15"/>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（1）项目综合进度计划</w:t>
      </w:r>
      <w:bookmarkEnd w:id="16"/>
      <w:bookmarkEnd w:id="17"/>
      <w:bookmarkEnd w:id="18"/>
      <w:bookmarkEnd w:id="19"/>
      <w:bookmarkEnd w:id="20"/>
      <w:bookmarkEnd w:id="21"/>
      <w:bookmarkEnd w:id="22"/>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根据本项目要求的工程内容、工程量清单、技术规范、竣工日期，经详细分解工作结构，划分活动单元，将工程的进度时间作出详细的计划。</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23" w:name="_Toc26197"/>
      <w:bookmarkStart w:id="24" w:name="_Toc15953"/>
      <w:bookmarkStart w:id="25" w:name="_Toc405281735"/>
      <w:bookmarkStart w:id="26" w:name="_Toc7947"/>
      <w:bookmarkStart w:id="27" w:name="_Toc396727795"/>
      <w:bookmarkStart w:id="28" w:name="_Toc404763301"/>
      <w:bookmarkStart w:id="29" w:name="_Toc295577808"/>
      <w:r>
        <w:rPr>
          <w:rFonts w:hint="eastAsia" w:ascii="仿宋_GB2312" w:hAnsi="Times New Roman" w:eastAsia="仿宋_GB2312" w:cs="Times New Roman"/>
          <w:kern w:val="2"/>
          <w:sz w:val="30"/>
          <w:szCs w:val="30"/>
          <w:lang w:val="en-US" w:eastAsia="zh-CN" w:bidi="ar-SA"/>
        </w:rPr>
        <w:t>（2）项目设计进度计划</w:t>
      </w:r>
      <w:bookmarkEnd w:id="23"/>
      <w:bookmarkEnd w:id="24"/>
      <w:bookmarkEnd w:id="25"/>
      <w:bookmarkEnd w:id="26"/>
      <w:bookmarkEnd w:id="27"/>
      <w:bookmarkEnd w:id="28"/>
      <w:bookmarkEnd w:id="29"/>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我公司在接到入场通知后，三日内，组织有关人员进行现场踏勘、收集资料，编写项目管理文档，编制技术方案和技术操作手册，并提交甲方。</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30" w:name="_Toc405281736"/>
      <w:bookmarkStart w:id="31" w:name="_Toc295577809"/>
      <w:bookmarkStart w:id="32" w:name="_Toc26321"/>
      <w:bookmarkStart w:id="33" w:name="_Toc404763302"/>
      <w:bookmarkStart w:id="34" w:name="_Toc16392"/>
      <w:bookmarkStart w:id="35" w:name="_Toc21546"/>
      <w:bookmarkStart w:id="36" w:name="_Toc396727796"/>
      <w:r>
        <w:rPr>
          <w:rFonts w:hint="eastAsia" w:ascii="仿宋_GB2312" w:hAnsi="Times New Roman" w:eastAsia="仿宋_GB2312" w:cs="Times New Roman"/>
          <w:kern w:val="2"/>
          <w:sz w:val="30"/>
          <w:szCs w:val="30"/>
          <w:lang w:val="en-US" w:eastAsia="zh-CN" w:bidi="ar-SA"/>
        </w:rPr>
        <w:t>（3）项目工作进度计划</w:t>
      </w:r>
      <w:bookmarkEnd w:id="30"/>
      <w:bookmarkEnd w:id="31"/>
      <w:bookmarkEnd w:id="32"/>
      <w:bookmarkEnd w:id="33"/>
      <w:bookmarkEnd w:id="34"/>
      <w:bookmarkEnd w:id="35"/>
      <w:bookmarkEnd w:id="36"/>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根据技术路线流程图，编制出项目所需的设备清单，按照工程项目总进度计划中对各项设备需求的品种、数量和到达施工现场的时间要求，确定出了各项设备到达施工现场的具体时间。</w:t>
      </w:r>
      <w:bookmarkStart w:id="37" w:name="_Toc192399898"/>
      <w:bookmarkStart w:id="38" w:name="_Toc192333619"/>
      <w:bookmarkStart w:id="39" w:name="_Toc396727797"/>
      <w:bookmarkStart w:id="40" w:name="_Toc2433"/>
      <w:bookmarkStart w:id="41" w:name="_Toc192400334"/>
      <w:bookmarkStart w:id="42" w:name="_Toc405281737"/>
      <w:bookmarkStart w:id="43" w:name="_Toc404763303"/>
      <w:bookmarkStart w:id="44" w:name="_Toc12374"/>
      <w:bookmarkStart w:id="45" w:name="_Toc295577810"/>
      <w:bookmarkStart w:id="46" w:name="_Toc17379"/>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（4）项目设备资源配置计划</w:t>
      </w:r>
      <w:bookmarkEnd w:id="37"/>
      <w:bookmarkEnd w:id="38"/>
      <w:bookmarkEnd w:id="39"/>
      <w:bookmarkEnd w:id="40"/>
      <w:bookmarkEnd w:id="41"/>
      <w:bookmarkEnd w:id="42"/>
      <w:bookmarkEnd w:id="43"/>
      <w:bookmarkEnd w:id="44"/>
      <w:bookmarkEnd w:id="45"/>
      <w:bookmarkEnd w:id="46"/>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47" w:name="_Toc192399899"/>
      <w:bookmarkStart w:id="48" w:name="_Toc396727798"/>
      <w:bookmarkStart w:id="49" w:name="_Toc20557"/>
      <w:bookmarkStart w:id="50" w:name="_Toc192333620"/>
      <w:bookmarkStart w:id="51" w:name="_Toc192400335"/>
      <w:bookmarkStart w:id="52" w:name="_Toc295577811"/>
      <w:bookmarkStart w:id="53" w:name="_Toc405281738"/>
      <w:bookmarkStart w:id="54" w:name="_Toc404763304"/>
      <w:bookmarkStart w:id="55" w:name="_Toc24008"/>
      <w:r>
        <w:rPr>
          <w:rFonts w:hint="eastAsia" w:ascii="仿宋_GB2312" w:hAnsi="Times New Roman" w:eastAsia="仿宋_GB2312" w:cs="Times New Roman"/>
          <w:kern w:val="2"/>
          <w:sz w:val="30"/>
          <w:szCs w:val="30"/>
          <w:lang w:val="en-US" w:eastAsia="zh-CN" w:bidi="ar-SA"/>
        </w:rPr>
        <w:t>为保证工程项目按质、按期全面完成，本项目将在项目指挥部的协调下，优先配置包括人力、仪器设备、车辆等在内的各种资源。</w:t>
      </w:r>
      <w:bookmarkStart w:id="56" w:name="_Toc15433"/>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（5）项目人力资源配置计划</w:t>
      </w:r>
      <w:bookmarkEnd w:id="47"/>
      <w:bookmarkEnd w:id="48"/>
      <w:bookmarkEnd w:id="49"/>
      <w:bookmarkEnd w:id="50"/>
      <w:bookmarkEnd w:id="51"/>
      <w:bookmarkEnd w:id="52"/>
      <w:bookmarkEnd w:id="53"/>
      <w:bookmarkEnd w:id="54"/>
      <w:bookmarkEnd w:id="55"/>
      <w:bookmarkEnd w:id="56"/>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57" w:name="_Toc396727799"/>
      <w:r>
        <w:rPr>
          <w:rFonts w:hint="eastAsia" w:ascii="仿宋_GB2312" w:hAnsi="Times New Roman" w:eastAsia="仿宋_GB2312" w:cs="Times New Roman"/>
          <w:kern w:val="2"/>
          <w:sz w:val="30"/>
          <w:szCs w:val="30"/>
          <w:lang w:val="en-US" w:eastAsia="zh-CN" w:bidi="ar-SA"/>
        </w:rPr>
        <w:t>①人力资源配置原则</w:t>
      </w:r>
      <w:bookmarkEnd w:id="57"/>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配置的人力资源包括外业分队以及内业分队人员。按照项目工程量，采用先进的劳动定额，以这两项测算劳动力需求数量。</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58" w:name="_Toc396727800"/>
      <w:r>
        <w:rPr>
          <w:rFonts w:hint="eastAsia" w:ascii="仿宋_GB2312" w:hAnsi="Times New Roman" w:eastAsia="仿宋_GB2312" w:cs="Times New Roman"/>
          <w:kern w:val="2"/>
          <w:sz w:val="30"/>
          <w:szCs w:val="30"/>
          <w:lang w:val="en-US" w:eastAsia="zh-CN" w:bidi="ar-SA"/>
        </w:rPr>
        <w:t>②人力资源实行动态管理</w:t>
      </w:r>
      <w:bookmarkEnd w:id="58"/>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此工程项目的各阶段施工作业交叉重叠。为此我们将按照工程进度，在人力的调配使用上按月做出计划，合理调整，使工程量、施工进度与人力资源相平衡。</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59" w:name="_Toc396727801"/>
      <w:r>
        <w:rPr>
          <w:rFonts w:hint="eastAsia" w:ascii="仿宋_GB2312" w:hAnsi="Times New Roman" w:eastAsia="仿宋_GB2312" w:cs="Times New Roman"/>
          <w:kern w:val="2"/>
          <w:sz w:val="30"/>
          <w:szCs w:val="30"/>
          <w:lang w:val="en-US" w:eastAsia="zh-CN" w:bidi="ar-SA"/>
        </w:rPr>
        <w:t>③人力资源使用原则</w:t>
      </w:r>
      <w:bookmarkEnd w:id="59"/>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建立专业化的作业队伍，充分发挥技术人员和技术工人的积极性，实行分项目标承包责任制，提高生产效率。做到人尽其用，发挥最大效率。</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60" w:name="_Toc396727802"/>
      <w:r>
        <w:rPr>
          <w:rFonts w:hint="eastAsia" w:ascii="仿宋_GB2312" w:hAnsi="Times New Roman" w:eastAsia="仿宋_GB2312" w:cs="Times New Roman"/>
          <w:kern w:val="2"/>
          <w:sz w:val="30"/>
          <w:szCs w:val="30"/>
          <w:lang w:val="en-US" w:eastAsia="zh-CN" w:bidi="ar-SA"/>
        </w:rPr>
        <w:t>④作业力量的具体安排</w:t>
      </w:r>
      <w:bookmarkEnd w:id="60"/>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各工序设立项目负责人一人，技术负责一人。</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工序负责人负责工序各项工作的管理，向项目负责人负责。负责工序作业计划(日程表)的制定与修订，人员设置及其安排，仪器设备计划的制定，材料计划的制定，各作业小组工作安排、协调及检查。工序下设各专(兼)职人员的工作安排、协调及检查，安全生产的组织宣传、检查。</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工序技术负责人负责工序操作于册的编写，工序技术方案的实施指导及质量检查，技术问题及质量问题的处理、请示、汇报。工序技术负责向项目技术总负责人及工序负责人负责并报告工作。</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技术质量检查员在工序负责人及技术负责领导下协助技术负责进行工序各项技术工作的技术指导，技术质量检查，一般技术问题的处理和请示汇报。根据工序的安排，可作兼职资料管理员。</w:t>
      </w:r>
      <w:bookmarkStart w:id="61" w:name="_Toc26024"/>
      <w:bookmarkStart w:id="62" w:name="_Toc101"/>
      <w:bookmarkStart w:id="63" w:name="_Toc22125"/>
      <w:bookmarkStart w:id="64" w:name="_Toc422046290"/>
      <w:bookmarkStart w:id="65" w:name="_Toc2563"/>
      <w:bookmarkStart w:id="66" w:name="_Toc18013"/>
      <w:bookmarkStart w:id="67" w:name="_Toc16119"/>
      <w:bookmarkStart w:id="68" w:name="_Toc24366"/>
      <w:bookmarkStart w:id="69" w:name="_Toc6831"/>
      <w:bookmarkStart w:id="70" w:name="_Toc16365_WPSOffice_Level3"/>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2、质量保证措施</w:t>
      </w:r>
      <w:bookmarkEnd w:id="61"/>
      <w:bookmarkEnd w:id="62"/>
      <w:bookmarkEnd w:id="63"/>
      <w:bookmarkEnd w:id="64"/>
      <w:bookmarkEnd w:id="65"/>
      <w:bookmarkEnd w:id="66"/>
      <w:bookmarkEnd w:id="67"/>
      <w:bookmarkEnd w:id="68"/>
      <w:bookmarkEnd w:id="69"/>
      <w:bookmarkEnd w:id="70"/>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根据我公司以往同类项目工作经验，制定一系列符合本项目的质量控制措施。</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1）严格有效运行我公司质量管理体系，确保质量体系贯穿于工作的全过程。在工作中始终贯彻落实质量方针和质量目标，随时分析和预防可能出现的问题。以预防为主，防检结合，实行动态的质量控制与跟踪，出现问题及时解决。</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（2）统一规范作业标准和方法</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项目实施前制定详细和切实可行且规范的技术实施方案，明确各项工作内容和技术要求、技术标准、技术方法、工作成果等。对参与的全部人员进行技术、质量教育及培训、考核，强化质量意识和责任心。项目实施过程中严格按照项目技术实施方案以及相关技术要求进行作业，并且针对参与项目的全体技术人员，定期、不定期组织技术培训和技术交流，统一技术标准、操作程序、技术方法和要求，确保项目实施和项目成果的准确、统一、规范。</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加强过程质量监控</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强调质量控制贯穿项目全过程，对项目的每一个阶段进行质量监控，建立完善的、切实可行的过程质量控制制度，在各阶段明确质量控制内容、指标以及质量检查方法等，使作业人员在作业过程中做到有的放矢、明确目标。通过控制每一个阶段的质量，达到项目质量的总目标。过程质检人员与作业人员同步，抓好每个作业阶段的质量，规范作业人员的作业方法，从源头上保障项目成果的质量。</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明确质量控制指标</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成立专门的项目部，切实贯彻执行项目的各项技术质量管理要求，认真进行项目各阶段的自检、互检和专检，建立规范的项目管理模式、完善项目管理体系。对作业过程中的每个环节均制定明确的质量控制指标，每一个阶段工作的成果都必须经过严格质量检查，并详细填写质量检查记录表，由项目负责人签字认可后，进入下道工序。</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设岗定责、责任到人</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按照“设岗定责，以制度管人，各负其责”的总体原则，明确项目质量岗位职责，将责任层层落实到人，作业过程中作好相应质量记录，使项目实施过程中发现的问题、提出的解决方案和最终完成的质量等有据可查。</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实行自检与全检制度</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作业人员对自己的成果进行自检的基础上，项目负责人和质量检查人员要对作业人员提交的成果进行全检。</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实行严格的质量奖惩措施</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对检查发现的质量问题，除进行思想教育，技术培训纠正外，还将根据错误程度进行经济处罚，特别是思想意识上造成的错误要进行严厉处罚。</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71" w:name="_Toc14459_WPSOffice_Level3"/>
      <w:bookmarkStart w:id="72" w:name="_Toc32420"/>
      <w:bookmarkStart w:id="73" w:name="_Toc10396"/>
      <w:r>
        <w:rPr>
          <w:rFonts w:hint="eastAsia" w:ascii="仿宋_GB2312" w:hAnsi="Times New Roman" w:eastAsia="仿宋_GB2312" w:cs="Times New Roman"/>
          <w:kern w:val="2"/>
          <w:sz w:val="30"/>
          <w:szCs w:val="30"/>
          <w:lang w:val="en-US" w:eastAsia="zh-CN" w:bidi="ar-SA"/>
        </w:rPr>
        <w:t>3、进度保证措施</w:t>
      </w:r>
      <w:bookmarkEnd w:id="71"/>
      <w:bookmarkEnd w:id="72"/>
      <w:bookmarkEnd w:id="73"/>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74" w:name="_Toc7448"/>
      <w:bookmarkStart w:id="75" w:name="_Toc17331"/>
      <w:bookmarkStart w:id="76" w:name="_Toc11421"/>
      <w:bookmarkStart w:id="77" w:name="_Toc14633"/>
      <w:bookmarkStart w:id="78" w:name="_Toc19497"/>
      <w:r>
        <w:rPr>
          <w:rFonts w:hint="eastAsia" w:ascii="仿宋_GB2312" w:hAnsi="Times New Roman" w:eastAsia="仿宋_GB2312" w:cs="Times New Roman"/>
          <w:kern w:val="2"/>
          <w:sz w:val="30"/>
          <w:szCs w:val="30"/>
          <w:lang w:val="en-US" w:eastAsia="zh-CN" w:bidi="ar-SA"/>
        </w:rPr>
        <w:t>（1）进度延误的预防</w:t>
      </w:r>
      <w:bookmarkEnd w:id="74"/>
      <w:bookmarkEnd w:id="75"/>
      <w:bookmarkEnd w:id="76"/>
      <w:bookmarkEnd w:id="77"/>
      <w:bookmarkEnd w:id="78"/>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在制定项目计划时，以类似项目实施经验为基础，整理出可能导致延期的主要因素、确定进度延误应对方案。当发现实际执行于计划发生偏差，且偏差到达警戒线时，立即针对延期原因制定应对方案并实施。</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79" w:name="_Toc21931"/>
      <w:bookmarkStart w:id="80" w:name="_Toc4039"/>
      <w:bookmarkStart w:id="81" w:name="_Toc18931"/>
      <w:bookmarkStart w:id="82" w:name="_Toc28425"/>
      <w:bookmarkStart w:id="83" w:name="_Toc5716"/>
      <w:bookmarkStart w:id="84" w:name="_Toc26416"/>
      <w:bookmarkStart w:id="85" w:name="_Toc8702"/>
      <w:r>
        <w:rPr>
          <w:rFonts w:hint="eastAsia" w:ascii="仿宋_GB2312" w:hAnsi="Times New Roman" w:eastAsia="仿宋_GB2312" w:cs="Times New Roman"/>
          <w:kern w:val="2"/>
          <w:sz w:val="30"/>
          <w:szCs w:val="30"/>
          <w:lang w:val="en-US" w:eastAsia="zh-CN" w:bidi="ar-SA"/>
        </w:rPr>
        <w:t>（2）定期提交进度报告</w:t>
      </w:r>
      <w:bookmarkEnd w:id="79"/>
      <w:bookmarkEnd w:id="80"/>
      <w:bookmarkEnd w:id="81"/>
      <w:bookmarkEnd w:id="82"/>
      <w:bookmarkEnd w:id="83"/>
      <w:bookmarkEnd w:id="84"/>
      <w:bookmarkEnd w:id="85"/>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所有项目成员均直接向上级提交关于进度情况的汇报和工作报告，一般采用周报的形式进行。在周报中列出上周工作情况，并对每项工作列清楚：完成、未完成和完成的百分比；列出下周的工作计划，要求计划细化到每个工作日和检查依据。列出历次遗留还未解决的问题和难点，以及计划完成的时间。</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周报必须真实反映项目工作进展情况，是内部进行绩效考核的重要依据。完善的周报制度将能及时发现项目实施过程中的问题，以采取必要措施进行解决。</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项目部每周提交一次工作周报，周报内容为总结上一周数据的工作量，遇到的问题及解决办法、需要公司协调解决的事宜和下周工作计划等进行总结。周报上交日期定于每周周一下班前。</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bookmarkStart w:id="86" w:name="_Toc16207"/>
      <w:bookmarkStart w:id="87" w:name="_Toc31687"/>
      <w:bookmarkStart w:id="88" w:name="_Toc25416"/>
      <w:bookmarkStart w:id="89" w:name="_Toc30308"/>
      <w:bookmarkStart w:id="90" w:name="_Toc20238"/>
      <w:bookmarkStart w:id="91" w:name="_Toc21443"/>
      <w:r>
        <w:rPr>
          <w:rFonts w:hint="eastAsia" w:ascii="仿宋_GB2312" w:hAnsi="Times New Roman" w:eastAsia="仿宋_GB2312" w:cs="Times New Roman"/>
          <w:kern w:val="2"/>
          <w:sz w:val="30"/>
          <w:szCs w:val="30"/>
          <w:lang w:val="en-US" w:eastAsia="zh-CN" w:bidi="ar-SA"/>
        </w:rPr>
        <w:t>（3）建立工期保证小组</w:t>
      </w:r>
      <w:bookmarkEnd w:id="86"/>
      <w:bookmarkEnd w:id="87"/>
      <w:bookmarkEnd w:id="88"/>
      <w:bookmarkEnd w:id="89"/>
      <w:bookmarkEnd w:id="90"/>
      <w:bookmarkEnd w:id="91"/>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项目成立工期保证小组，由项目经理担任组长，项目各专业负责人任副组长，各作业组。</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①统一组织领导、分工合作</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在本项目的执行过程中按照分工明确，采用责、权、利相结合的管理方式。项目经理负责生产协调、工作协调、进度监督；技术组负责人负责技术指导、技术培训；质检组负责人负责整个工程的全面质量检查。</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②责任明确、分解详细</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各部门拟将工作量分解到各个作业组，各作业组将工作量分解到每名作业人员，哪个部门出现问题，追究部门领导的责任；哪个作业组出现问题，追究作业组长责任；哪个作业人员出现问题，追究本人责任；并承担相应的经济损失和行政处罚。</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③完善准备工作</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准备工作包括：组织准备、技术准备和资料准备。针对本项目公司将专门成立项目部，进行人员的统一调配和管理，认真收集和分析本项目的相关资料，组织编写技术设计书和作业补充规定，并进行相关培训。</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④严格控制工程进度</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各部门负责人拟接受生产任务后，应立即按要求制定各自承担项目的工作计划，把任务划分成块，细化、量化到每个作业人员。部门下设作业组，形成作业人员对组长负责，组长对部门领导负责，部门领导对公司总经理负责的良好局面。项目实施过程中，还要求各作业组将每周的工作量各自统计上报，部门进行详细考核，项目部要经常抽查各阶段生产计划完成情况，及时了解、掌握工程进展情况，从而及时采取相应措施，有效地控制工程进度。各作业部门要将本工程的进度统计图表上墙，对无故逾期未能完成工作计划的部门、作业组、作业员，公司项目部将进行严肃的经济和行政处罚。</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⑤加强项目工作协调</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项目经理负责协调好各部门的关系，项目进度及质量等情况及时向甲方汇报，积极配合甲方做好工作；做好各工序之间的相互衔接，及时汇总工作中的问题，及时向甲方反映，对反馈意见和建议及时落实解决。</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⑥有序衔接、密切配合</w:t>
      </w:r>
    </w:p>
    <w:p>
      <w:pPr>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_GB2312" w:hAnsi="Times New Roman" w:eastAsia="仿宋_GB2312" w:cs="Times New Roman"/>
          <w:kern w:val="2"/>
          <w:sz w:val="30"/>
          <w:szCs w:val="30"/>
          <w:lang w:val="en-US" w:eastAsia="zh-CN" w:bidi="ar-SA"/>
        </w:rPr>
      </w:pPr>
      <w:r>
        <w:rPr>
          <w:rFonts w:hint="eastAsia" w:ascii="仿宋_GB2312" w:hAnsi="Times New Roman" w:eastAsia="仿宋_GB2312" w:cs="Times New Roman"/>
          <w:kern w:val="2"/>
          <w:sz w:val="30"/>
          <w:szCs w:val="30"/>
          <w:lang w:val="en-US" w:eastAsia="zh-CN" w:bidi="ar-SA"/>
        </w:rPr>
        <w:t>有了明确的分工、要求和责任以后，还需要上下工序的有序衔接和密切配合，采用滚动式进行。工作的有效衔接，主要是来源于作业人员对工作内容的理解问题，针对这些问题，项目部将及时做好了这方面的培训工作长为组员，形成一体化的管理模式，并明确相应的岗位责任。</w:t>
      </w:r>
    </w:p>
    <w:p>
      <w:pPr>
        <w:numPr>
          <w:ilvl w:val="0"/>
          <w:numId w:val="0"/>
        </w:numPr>
        <w:adjustRightInd w:val="0"/>
        <w:snapToGrid w:val="0"/>
        <w:spacing w:line="360" w:lineRule="auto"/>
        <w:ind w:left="800" w:leftChars="0"/>
        <w:rPr>
          <w:rFonts w:hint="eastAsia" w:ascii="仿宋_GB2312" w:eastAsia="仿宋_GB2312"/>
          <w:sz w:val="32"/>
          <w:szCs w:val="32"/>
        </w:rPr>
      </w:pP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3"/>
    <w:multiLevelType w:val="multilevel"/>
    <w:tmpl w:val="00000013"/>
    <w:lvl w:ilvl="0" w:tentative="0">
      <w:start w:val="1"/>
      <w:numFmt w:val="upperLetter"/>
      <w:pStyle w:val="5"/>
      <w:lvlText w:val="%1."/>
      <w:lvlJc w:val="left"/>
      <w:pPr>
        <w:tabs>
          <w:tab w:val="left" w:pos="644"/>
        </w:tabs>
        <w:ind w:left="644" w:hanging="360"/>
      </w:pPr>
      <w:rPr>
        <w:rFonts w:hint="eastAsia"/>
      </w:rPr>
    </w:lvl>
    <w:lvl w:ilvl="1" w:tentative="0">
      <w:start w:val="1"/>
      <w:numFmt w:val="lowerLetter"/>
      <w:lvlText w:val="%2)"/>
      <w:lvlJc w:val="left"/>
      <w:pPr>
        <w:tabs>
          <w:tab w:val="left" w:pos="1124"/>
        </w:tabs>
        <w:ind w:left="1124" w:hanging="420"/>
      </w:pPr>
    </w:lvl>
    <w:lvl w:ilvl="2" w:tentative="0">
      <w:start w:val="1"/>
      <w:numFmt w:val="lowerRoman"/>
      <w:lvlText w:val="%3."/>
      <w:lvlJc w:val="right"/>
      <w:pPr>
        <w:tabs>
          <w:tab w:val="left" w:pos="1544"/>
        </w:tabs>
        <w:ind w:left="1544" w:hanging="420"/>
      </w:pPr>
    </w:lvl>
    <w:lvl w:ilvl="3" w:tentative="0">
      <w:start w:val="1"/>
      <w:numFmt w:val="decimal"/>
      <w:lvlText w:val="%4."/>
      <w:lvlJc w:val="left"/>
      <w:pPr>
        <w:tabs>
          <w:tab w:val="left" w:pos="1964"/>
        </w:tabs>
        <w:ind w:left="1964" w:hanging="420"/>
      </w:pPr>
    </w:lvl>
    <w:lvl w:ilvl="4" w:tentative="0">
      <w:start w:val="1"/>
      <w:numFmt w:val="lowerLetter"/>
      <w:lvlText w:val="%5)"/>
      <w:lvlJc w:val="left"/>
      <w:pPr>
        <w:tabs>
          <w:tab w:val="left" w:pos="2384"/>
        </w:tabs>
        <w:ind w:left="2384" w:hanging="420"/>
      </w:pPr>
    </w:lvl>
    <w:lvl w:ilvl="5" w:tentative="0">
      <w:start w:val="1"/>
      <w:numFmt w:val="lowerRoman"/>
      <w:lvlText w:val="%6."/>
      <w:lvlJc w:val="right"/>
      <w:pPr>
        <w:tabs>
          <w:tab w:val="left" w:pos="2804"/>
        </w:tabs>
        <w:ind w:left="2804" w:hanging="420"/>
      </w:pPr>
    </w:lvl>
    <w:lvl w:ilvl="6" w:tentative="0">
      <w:start w:val="1"/>
      <w:numFmt w:val="decimal"/>
      <w:lvlText w:val="%7."/>
      <w:lvlJc w:val="left"/>
      <w:pPr>
        <w:tabs>
          <w:tab w:val="left" w:pos="3224"/>
        </w:tabs>
        <w:ind w:left="3224" w:hanging="420"/>
      </w:pPr>
    </w:lvl>
    <w:lvl w:ilvl="7" w:tentative="0">
      <w:start w:val="1"/>
      <w:numFmt w:val="lowerLetter"/>
      <w:lvlText w:val="%8)"/>
      <w:lvlJc w:val="left"/>
      <w:pPr>
        <w:tabs>
          <w:tab w:val="left" w:pos="3644"/>
        </w:tabs>
        <w:ind w:left="3644" w:hanging="420"/>
      </w:pPr>
    </w:lvl>
    <w:lvl w:ilvl="8" w:tentative="0">
      <w:start w:val="1"/>
      <w:numFmt w:val="lowerRoman"/>
      <w:lvlText w:val="%9."/>
      <w:lvlJc w:val="right"/>
      <w:pPr>
        <w:tabs>
          <w:tab w:val="left" w:pos="4064"/>
        </w:tabs>
        <w:ind w:left="4064"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0914C7"/>
    <w:rsid w:val="2AB411E0"/>
    <w:rsid w:val="4342219B"/>
    <w:rsid w:val="44975F84"/>
    <w:rsid w:val="560914C7"/>
    <w:rsid w:val="629E11C3"/>
    <w:rsid w:val="745C2F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line="416" w:lineRule="auto"/>
      <w:jc w:val="left"/>
      <w:outlineLvl w:val="1"/>
    </w:pPr>
    <w:rPr>
      <w:rFonts w:ascii="Arial" w:hAnsi="Arial" w:eastAsia="黑体"/>
      <w:b/>
      <w:bCs/>
      <w:sz w:val="28"/>
      <w:szCs w:val="32"/>
    </w:rPr>
  </w:style>
  <w:style w:type="paragraph" w:styleId="4">
    <w:name w:val="heading 3"/>
    <w:basedOn w:val="1"/>
    <w:next w:val="1"/>
    <w:unhideWhenUsed/>
    <w:qFormat/>
    <w:uiPriority w:val="0"/>
    <w:pPr>
      <w:keepNext/>
      <w:keepLines/>
      <w:spacing w:line="413" w:lineRule="auto"/>
      <w:outlineLvl w:val="2"/>
    </w:pPr>
    <w:rPr>
      <w:b/>
      <w:sz w:val="24"/>
    </w:rPr>
  </w:style>
  <w:style w:type="paragraph" w:styleId="5">
    <w:name w:val="heading 4"/>
    <w:basedOn w:val="1"/>
    <w:next w:val="1"/>
    <w:semiHidden/>
    <w:unhideWhenUsed/>
    <w:qFormat/>
    <w:uiPriority w:val="0"/>
    <w:pPr>
      <w:keepNext/>
      <w:numPr>
        <w:ilvl w:val="0"/>
        <w:numId w:val="1"/>
      </w:numPr>
      <w:spacing w:line="520" w:lineRule="exact"/>
      <w:outlineLvl w:val="3"/>
    </w:pPr>
    <w:rPr>
      <w:rFonts w:ascii="宋体" w:hAnsi="宋体"/>
      <w:color w:val="000000"/>
      <w:sz w:val="28"/>
    </w:rPr>
  </w:style>
  <w:style w:type="character" w:default="1" w:styleId="8">
    <w:name w:val="Default Paragraph Font"/>
    <w:semiHidden/>
    <w:qFormat/>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6">
    <w:name w:val="Normal Indent"/>
    <w:basedOn w:val="1"/>
    <w:qFormat/>
    <w:uiPriority w:val="0"/>
    <w:pPr>
      <w:adjustRightInd w:val="0"/>
      <w:spacing w:line="360" w:lineRule="atLeast"/>
      <w:ind w:firstLine="420"/>
      <w:textAlignment w:val="baseline"/>
    </w:pPr>
    <w:rPr>
      <w:rFonts w:ascii="Times New Roman" w:hAnsi="Times New Roman" w:eastAsia="宋体"/>
    </w:rPr>
  </w:style>
  <w:style w:type="paragraph" w:styleId="9">
    <w:name w:val="List Paragraph"/>
    <w:basedOn w:val="1"/>
    <w:unhideWhenUsed/>
    <w:qFormat/>
    <w:uiPriority w:val="99"/>
    <w:pPr>
      <w:ind w:firstLine="420" w:firstLineChars="200"/>
    </w:pPr>
  </w:style>
  <w:style w:type="paragraph" w:customStyle="1" w:styleId="10">
    <w:name w:val="p0"/>
    <w:basedOn w:val="1"/>
    <w:qFormat/>
    <w:uiPriority w:val="0"/>
    <w:pPr>
      <w:jc w:val="left"/>
    </w:pPr>
    <w:rPr>
      <w:rFonts w:hint="eastAsia"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2020-04-23T03:07:00Z</dcterms:created>
  <dc:creator>花开的声音</dc:creator>
  <cp:lastModifiedBy>1</cp:lastModifiedBy>
  <dcterms:modified xsi:type="dcterms:W3CDTF">2024-02-23T08:43:31Z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