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宋体" w:hAnsi="宋体"/>
          <w:sz w:val="36"/>
          <w:szCs w:val="36"/>
          <w:lang w:val="en-US" w:eastAsia="zh-CN"/>
        </w:rPr>
      </w:pPr>
    </w:p>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宋体" w:hAnsi="宋体"/>
          <w:sz w:val="36"/>
          <w:szCs w:val="36"/>
        </w:rPr>
      </w:pPr>
      <w:r>
        <w:rPr>
          <w:rFonts w:hint="eastAsia" w:ascii="宋体" w:hAnsi="宋体"/>
          <w:sz w:val="36"/>
          <w:szCs w:val="36"/>
          <w:lang w:val="en-US" w:eastAsia="zh-CN"/>
        </w:rPr>
        <w:t>2016年高标准农田建设资金（含追加）</w:t>
      </w:r>
      <w:r>
        <w:rPr>
          <w:rFonts w:hint="eastAsia" w:ascii="宋体" w:hAnsi="宋体"/>
          <w:sz w:val="36"/>
          <w:szCs w:val="36"/>
        </w:rPr>
        <w:t>项目</w:t>
      </w: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lang w:eastAsia="zh-CN"/>
        </w:rPr>
      </w:pPr>
      <w:r>
        <w:rPr>
          <w:rFonts w:hint="eastAsia" w:ascii="仿宋_GB2312" w:eastAsia="仿宋_GB2312"/>
          <w:sz w:val="28"/>
          <w:szCs w:val="28"/>
        </w:rPr>
        <w:t>根据《藁城区财政局关于开展财政专项资金部门绩效自评价及财政重点绩效评价的工作方案》（藁财【2019】</w:t>
      </w:r>
      <w:r>
        <w:rPr>
          <w:rFonts w:hint="eastAsia" w:ascii="仿宋_GB2312" w:eastAsia="仿宋_GB2312"/>
          <w:sz w:val="28"/>
          <w:szCs w:val="28"/>
          <w:lang w:val="en-US" w:eastAsia="zh-CN"/>
        </w:rPr>
        <w:t>19</w:t>
      </w:r>
      <w:r>
        <w:rPr>
          <w:rFonts w:hint="eastAsia" w:ascii="仿宋_GB2312" w:eastAsia="仿宋_GB2312"/>
          <w:sz w:val="28"/>
          <w:szCs w:val="28"/>
        </w:rPr>
        <w:t xml:space="preserve"> 号），遵循“科学性、规范性、客观性和公正性”的原则，对石家庄市藁城区贾市庄镇等二个镇卞家寨村等二个村、石家庄市藁城区贾市庄镇等二个镇刘海庄村等三个村、石家庄市藁城区贾市庄镇南古庄村等三个村等三个项目高标准基本农田建设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eastAsia="黑体"/>
          <w:sz w:val="28"/>
          <w:szCs w:val="28"/>
        </w:rPr>
      </w:pPr>
      <w:r>
        <w:rPr>
          <w:rFonts w:hint="eastAsia" w:ascii="黑体" w:eastAsia="黑体"/>
          <w:sz w:val="28"/>
          <w:szCs w:val="28"/>
        </w:rPr>
        <w:t>一、项目基本情况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280" w:firstLineChars="100"/>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rPr>
        <w:t xml:space="preserve"> 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rPr>
      </w:pPr>
      <w:r>
        <w:rPr>
          <w:rFonts w:hint="eastAsia" w:ascii="仿宋" w:hAnsi="仿宋" w:eastAsia="仿宋" w:cs="仿宋"/>
          <w:sz w:val="28"/>
          <w:szCs w:val="28"/>
        </w:rPr>
        <w:t>石家庄市藁城区贾市庄镇等二个镇卞家寨村等二个村高标准基本农田建设项目是</w:t>
      </w:r>
      <w:r>
        <w:rPr>
          <w:rFonts w:hint="eastAsia" w:ascii="仿宋" w:hAnsi="仿宋" w:eastAsia="仿宋" w:cs="仿宋"/>
          <w:color w:val="auto"/>
          <w:sz w:val="28"/>
          <w:szCs w:val="28"/>
        </w:rPr>
        <w:t>20</w:t>
      </w:r>
      <w:r>
        <w:rPr>
          <w:rFonts w:hint="eastAsia" w:ascii="仿宋" w:hAnsi="仿宋" w:eastAsia="仿宋" w:cs="仿宋"/>
          <w:color w:val="auto"/>
          <w:sz w:val="28"/>
          <w:szCs w:val="28"/>
          <w:lang w:val="en-US" w:eastAsia="zh-CN"/>
        </w:rPr>
        <w:t>15</w:t>
      </w:r>
      <w:r>
        <w:rPr>
          <w:rFonts w:hint="eastAsia" w:ascii="仿宋" w:hAnsi="仿宋" w:eastAsia="仿宋" w:cs="仿宋"/>
          <w:color w:val="auto"/>
          <w:sz w:val="28"/>
          <w:szCs w:val="28"/>
        </w:rPr>
        <w:t>年</w:t>
      </w:r>
      <w:r>
        <w:rPr>
          <w:rFonts w:hint="eastAsia" w:ascii="仿宋" w:hAnsi="仿宋" w:eastAsia="仿宋" w:cs="仿宋"/>
          <w:color w:val="auto"/>
          <w:sz w:val="28"/>
          <w:szCs w:val="28"/>
          <w:lang w:val="en-US" w:eastAsia="zh-CN"/>
        </w:rPr>
        <w:t>12</w:t>
      </w:r>
      <w:r>
        <w:rPr>
          <w:rFonts w:hint="eastAsia" w:ascii="仿宋" w:hAnsi="仿宋" w:eastAsia="仿宋" w:cs="仿宋"/>
          <w:color w:val="auto"/>
          <w:sz w:val="28"/>
          <w:szCs w:val="28"/>
        </w:rPr>
        <w:t>月15日经</w:t>
      </w:r>
      <w:r>
        <w:rPr>
          <w:rFonts w:hint="eastAsia" w:ascii="仿宋" w:hAnsi="仿宋" w:eastAsia="仿宋" w:cs="仿宋"/>
          <w:sz w:val="28"/>
          <w:szCs w:val="28"/>
        </w:rPr>
        <w:t>市国土局批准立项的</w:t>
      </w:r>
      <w:r>
        <w:rPr>
          <w:rFonts w:hint="eastAsia" w:ascii="仿宋" w:hAnsi="仿宋" w:eastAsia="仿宋" w:cs="仿宋"/>
          <w:sz w:val="28"/>
          <w:szCs w:val="28"/>
          <w:lang w:val="en-US" w:eastAsia="zh-CN"/>
        </w:rPr>
        <w:t>高标准基本农田建设项目</w:t>
      </w:r>
      <w:r>
        <w:rPr>
          <w:rFonts w:hint="eastAsia" w:ascii="仿宋" w:hAnsi="仿宋" w:eastAsia="仿宋" w:cs="仿宋"/>
          <w:sz w:val="28"/>
          <w:szCs w:val="28"/>
          <w:lang w:eastAsia="zh-CN"/>
        </w:rPr>
        <w:t>，</w:t>
      </w:r>
      <w:r>
        <w:rPr>
          <w:rFonts w:hint="eastAsia" w:ascii="仿宋" w:hAnsi="仿宋" w:eastAsia="仿宋" w:cs="仿宋"/>
          <w:sz w:val="28"/>
          <w:szCs w:val="28"/>
        </w:rPr>
        <w:t>项目规模</w:t>
      </w:r>
      <w:r>
        <w:rPr>
          <w:rFonts w:hint="eastAsia" w:ascii="仿宋" w:hAnsi="仿宋" w:eastAsia="仿宋" w:cs="仿宋"/>
          <w:color w:val="auto"/>
          <w:sz w:val="28"/>
          <w:szCs w:val="28"/>
          <w:lang w:val="en-US" w:eastAsia="zh-CN"/>
        </w:rPr>
        <w:t>536.9642</w:t>
      </w:r>
      <w:r>
        <w:rPr>
          <w:rFonts w:hint="eastAsia" w:ascii="仿宋" w:hAnsi="仿宋" w:eastAsia="仿宋" w:cs="仿宋"/>
          <w:color w:val="auto"/>
          <w:sz w:val="28"/>
          <w:szCs w:val="28"/>
        </w:rPr>
        <w:t>公顷</w:t>
      </w:r>
      <w:r>
        <w:rPr>
          <w:rFonts w:hint="eastAsia" w:ascii="仿宋" w:hAnsi="仿宋" w:eastAsia="仿宋" w:cs="仿宋"/>
          <w:sz w:val="28"/>
          <w:szCs w:val="28"/>
        </w:rPr>
        <w:t>，</w:t>
      </w:r>
      <w:r>
        <w:rPr>
          <w:rFonts w:hint="eastAsia" w:ascii="仿宋" w:hAnsi="仿宋" w:eastAsia="仿宋" w:cs="仿宋"/>
          <w:color w:val="auto"/>
          <w:sz w:val="28"/>
          <w:szCs w:val="28"/>
          <w:lang w:eastAsia="zh-CN"/>
        </w:rPr>
        <w:t>项目总投资</w:t>
      </w:r>
      <w:r>
        <w:rPr>
          <w:rFonts w:hint="eastAsia" w:ascii="仿宋" w:hAnsi="仿宋" w:eastAsia="仿宋" w:cs="仿宋"/>
          <w:color w:val="auto"/>
          <w:sz w:val="28"/>
          <w:szCs w:val="28"/>
          <w:lang w:val="en-US" w:eastAsia="zh-CN"/>
        </w:rPr>
        <w:t>282.3310</w:t>
      </w:r>
      <w:r>
        <w:rPr>
          <w:rFonts w:hint="eastAsia" w:ascii="仿宋" w:hAnsi="仿宋" w:eastAsia="仿宋" w:cs="仿宋"/>
          <w:sz w:val="28"/>
          <w:szCs w:val="28"/>
        </w:rPr>
        <w:t>万元，</w:t>
      </w:r>
      <w:r>
        <w:rPr>
          <w:rFonts w:hint="eastAsia" w:ascii="仿宋_GB2312" w:eastAsia="仿宋_GB2312"/>
          <w:sz w:val="28"/>
          <w:szCs w:val="28"/>
        </w:rPr>
        <w:t>该项目于201</w:t>
      </w:r>
      <w:r>
        <w:rPr>
          <w:rFonts w:hint="eastAsia" w:ascii="仿宋_GB2312" w:eastAsia="仿宋_GB2312"/>
          <w:sz w:val="28"/>
          <w:szCs w:val="28"/>
          <w:lang w:val="en-US" w:eastAsia="zh-CN"/>
        </w:rPr>
        <w:t>6</w:t>
      </w:r>
      <w:r>
        <w:rPr>
          <w:rFonts w:hint="eastAsia" w:ascii="仿宋_GB2312" w:eastAsia="仿宋_GB2312"/>
          <w:sz w:val="28"/>
          <w:szCs w:val="28"/>
        </w:rPr>
        <w:t>年</w:t>
      </w:r>
      <w:r>
        <w:rPr>
          <w:rFonts w:hint="eastAsia" w:ascii="仿宋_GB2312" w:eastAsia="仿宋_GB2312"/>
          <w:sz w:val="28"/>
          <w:szCs w:val="28"/>
          <w:lang w:val="en-US" w:eastAsia="zh-CN"/>
        </w:rPr>
        <w:t>5</w:t>
      </w:r>
      <w:r>
        <w:rPr>
          <w:rFonts w:hint="eastAsia" w:ascii="仿宋_GB2312" w:eastAsia="仿宋_GB2312"/>
          <w:sz w:val="28"/>
          <w:szCs w:val="28"/>
        </w:rPr>
        <w:t>月</w:t>
      </w:r>
      <w:r>
        <w:rPr>
          <w:rFonts w:hint="eastAsia" w:ascii="仿宋_GB2312" w:eastAsia="仿宋_GB2312"/>
          <w:sz w:val="28"/>
          <w:szCs w:val="28"/>
          <w:lang w:val="en-US" w:eastAsia="zh-CN"/>
        </w:rPr>
        <w:t>开工至2017年5月</w:t>
      </w:r>
      <w:r>
        <w:rPr>
          <w:rFonts w:hint="eastAsia" w:ascii="仿宋_GB2312" w:eastAsia="仿宋_GB2312"/>
          <w:sz w:val="28"/>
          <w:szCs w:val="28"/>
        </w:rPr>
        <w:t>竣工</w:t>
      </w:r>
      <w:r>
        <w:rPr>
          <w:rFonts w:hint="eastAsia" w:ascii="仿宋_GB2312" w:eastAsia="仿宋_GB2312"/>
          <w:sz w:val="28"/>
          <w:szCs w:val="28"/>
          <w:lang w:eastAsia="zh-CN"/>
        </w:rPr>
        <w:t>，</w:t>
      </w:r>
      <w:r>
        <w:rPr>
          <w:rFonts w:hint="eastAsia" w:ascii="仿宋_GB2312" w:eastAsia="仿宋_GB2312"/>
          <w:sz w:val="28"/>
          <w:szCs w:val="28"/>
        </w:rPr>
        <w:t>由河北中瑞建设集团有限公司、河北东奥建筑工程有限公司共同进行工程施工建设。</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rPr>
      </w:pPr>
      <w:r>
        <w:rPr>
          <w:rFonts w:hint="eastAsia" w:ascii="仿宋" w:hAnsi="仿宋" w:eastAsia="仿宋" w:cs="仿宋"/>
          <w:sz w:val="28"/>
          <w:szCs w:val="28"/>
        </w:rPr>
        <w:t>石家庄市藁城区贾市庄镇等二个镇刘海庄村等三个村高标准基本农田建设项目是</w:t>
      </w:r>
      <w:r>
        <w:rPr>
          <w:rFonts w:hint="eastAsia" w:ascii="仿宋" w:hAnsi="仿宋" w:eastAsia="仿宋" w:cs="仿宋"/>
          <w:color w:val="auto"/>
          <w:sz w:val="28"/>
          <w:szCs w:val="28"/>
        </w:rPr>
        <w:t>20</w:t>
      </w:r>
      <w:r>
        <w:rPr>
          <w:rFonts w:hint="eastAsia" w:ascii="仿宋" w:hAnsi="仿宋" w:eastAsia="仿宋" w:cs="仿宋"/>
          <w:color w:val="auto"/>
          <w:sz w:val="28"/>
          <w:szCs w:val="28"/>
          <w:lang w:val="en-US" w:eastAsia="zh-CN"/>
        </w:rPr>
        <w:t>15</w:t>
      </w:r>
      <w:r>
        <w:rPr>
          <w:rFonts w:hint="eastAsia" w:ascii="仿宋" w:hAnsi="仿宋" w:eastAsia="仿宋" w:cs="仿宋"/>
          <w:color w:val="auto"/>
          <w:sz w:val="28"/>
          <w:szCs w:val="28"/>
        </w:rPr>
        <w:t>年</w:t>
      </w:r>
      <w:r>
        <w:rPr>
          <w:rFonts w:hint="eastAsia" w:ascii="仿宋" w:hAnsi="仿宋" w:eastAsia="仿宋" w:cs="仿宋"/>
          <w:color w:val="auto"/>
          <w:sz w:val="28"/>
          <w:szCs w:val="28"/>
          <w:lang w:val="en-US" w:eastAsia="zh-CN"/>
        </w:rPr>
        <w:t>12</w:t>
      </w:r>
      <w:r>
        <w:rPr>
          <w:rFonts w:hint="eastAsia" w:ascii="仿宋" w:hAnsi="仿宋" w:eastAsia="仿宋" w:cs="仿宋"/>
          <w:color w:val="auto"/>
          <w:sz w:val="28"/>
          <w:szCs w:val="28"/>
        </w:rPr>
        <w:t>月15日经</w:t>
      </w:r>
      <w:r>
        <w:rPr>
          <w:rFonts w:hint="eastAsia" w:ascii="仿宋" w:hAnsi="仿宋" w:eastAsia="仿宋" w:cs="仿宋"/>
          <w:sz w:val="28"/>
          <w:szCs w:val="28"/>
        </w:rPr>
        <w:t>市国土局批准立项的</w:t>
      </w:r>
      <w:r>
        <w:rPr>
          <w:rFonts w:hint="eastAsia" w:ascii="仿宋" w:hAnsi="仿宋" w:eastAsia="仿宋" w:cs="仿宋"/>
          <w:sz w:val="28"/>
          <w:szCs w:val="28"/>
          <w:lang w:val="en-US" w:eastAsia="zh-CN"/>
        </w:rPr>
        <w:t>高标准基本农田建设项目</w:t>
      </w:r>
      <w:r>
        <w:rPr>
          <w:rFonts w:hint="eastAsia" w:ascii="仿宋" w:hAnsi="仿宋" w:eastAsia="仿宋" w:cs="仿宋"/>
          <w:sz w:val="28"/>
          <w:szCs w:val="28"/>
          <w:lang w:eastAsia="zh-CN"/>
        </w:rPr>
        <w:t>，</w:t>
      </w:r>
      <w:r>
        <w:rPr>
          <w:rFonts w:hint="eastAsia" w:ascii="仿宋" w:hAnsi="仿宋" w:eastAsia="仿宋" w:cs="仿宋"/>
          <w:sz w:val="28"/>
          <w:szCs w:val="28"/>
        </w:rPr>
        <w:t>项目规模</w:t>
      </w:r>
      <w:r>
        <w:rPr>
          <w:rFonts w:hint="eastAsia" w:ascii="仿宋" w:hAnsi="仿宋" w:eastAsia="仿宋" w:cs="仿宋"/>
          <w:color w:val="auto"/>
          <w:sz w:val="28"/>
          <w:szCs w:val="28"/>
          <w:lang w:val="en-US" w:eastAsia="zh-CN"/>
        </w:rPr>
        <w:t>1535.7123</w:t>
      </w:r>
      <w:r>
        <w:rPr>
          <w:rFonts w:hint="eastAsia" w:ascii="仿宋" w:hAnsi="仿宋" w:eastAsia="仿宋" w:cs="仿宋"/>
          <w:color w:val="auto"/>
          <w:sz w:val="28"/>
          <w:szCs w:val="28"/>
        </w:rPr>
        <w:t>公顷</w:t>
      </w:r>
      <w:r>
        <w:rPr>
          <w:rFonts w:hint="eastAsia" w:ascii="仿宋" w:hAnsi="仿宋" w:eastAsia="仿宋" w:cs="仿宋"/>
          <w:sz w:val="28"/>
          <w:szCs w:val="28"/>
        </w:rPr>
        <w:t>，</w:t>
      </w:r>
      <w:r>
        <w:rPr>
          <w:rFonts w:hint="eastAsia" w:ascii="仿宋" w:hAnsi="仿宋" w:eastAsia="仿宋" w:cs="仿宋"/>
          <w:color w:val="auto"/>
          <w:sz w:val="28"/>
          <w:szCs w:val="28"/>
          <w:lang w:eastAsia="zh-CN"/>
        </w:rPr>
        <w:t>项目总投资</w:t>
      </w:r>
      <w:r>
        <w:rPr>
          <w:rFonts w:hint="eastAsia" w:ascii="仿宋" w:hAnsi="仿宋" w:eastAsia="仿宋" w:cs="仿宋"/>
          <w:color w:val="auto"/>
          <w:sz w:val="28"/>
          <w:szCs w:val="28"/>
          <w:lang w:val="en-US" w:eastAsia="zh-CN"/>
        </w:rPr>
        <w:t>993.2964</w:t>
      </w:r>
      <w:r>
        <w:rPr>
          <w:rFonts w:hint="eastAsia" w:ascii="仿宋" w:hAnsi="仿宋" w:eastAsia="仿宋" w:cs="仿宋"/>
          <w:sz w:val="28"/>
          <w:szCs w:val="28"/>
        </w:rPr>
        <w:t>万元，</w:t>
      </w:r>
      <w:r>
        <w:rPr>
          <w:rFonts w:hint="eastAsia" w:ascii="仿宋_GB2312" w:eastAsia="仿宋_GB2312"/>
          <w:sz w:val="28"/>
          <w:szCs w:val="28"/>
        </w:rPr>
        <w:t>该项目于2016年5月开工至2017年5月竣工，由河北鸿程建筑工程有限公司、石家庄市藁城区盛安建筑有限公司、河北金湖建筑工程有限公司、河北鑫泉建筑工程有限公司、远通建工集团有限公司、河北钰坤建筑工程有限公司、河北惠康市政工程有限公司及河北圣华建筑工程有限公司共同进行工程施工建设。</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lang w:eastAsia="zh-CN"/>
        </w:rPr>
      </w:pPr>
      <w:r>
        <w:rPr>
          <w:rFonts w:hint="eastAsia" w:ascii="仿宋" w:hAnsi="仿宋" w:eastAsia="仿宋" w:cs="仿宋"/>
          <w:sz w:val="28"/>
          <w:szCs w:val="28"/>
        </w:rPr>
        <w:t>石家庄市藁城区贾市庄镇南古庄村等三个村高标准基本农田建设项目是</w:t>
      </w:r>
      <w:r>
        <w:rPr>
          <w:rFonts w:hint="eastAsia" w:ascii="仿宋" w:hAnsi="仿宋" w:eastAsia="仿宋" w:cs="仿宋"/>
          <w:color w:val="auto"/>
          <w:sz w:val="28"/>
          <w:szCs w:val="28"/>
        </w:rPr>
        <w:t>20</w:t>
      </w:r>
      <w:r>
        <w:rPr>
          <w:rFonts w:hint="eastAsia" w:ascii="仿宋" w:hAnsi="仿宋" w:eastAsia="仿宋" w:cs="仿宋"/>
          <w:color w:val="auto"/>
          <w:sz w:val="28"/>
          <w:szCs w:val="28"/>
          <w:lang w:val="en-US" w:eastAsia="zh-CN"/>
        </w:rPr>
        <w:t>15</w:t>
      </w:r>
      <w:r>
        <w:rPr>
          <w:rFonts w:hint="eastAsia" w:ascii="仿宋" w:hAnsi="仿宋" w:eastAsia="仿宋" w:cs="仿宋"/>
          <w:color w:val="auto"/>
          <w:sz w:val="28"/>
          <w:szCs w:val="28"/>
        </w:rPr>
        <w:t>年</w:t>
      </w:r>
      <w:r>
        <w:rPr>
          <w:rFonts w:hint="eastAsia" w:ascii="仿宋" w:hAnsi="仿宋" w:eastAsia="仿宋" w:cs="仿宋"/>
          <w:color w:val="auto"/>
          <w:sz w:val="28"/>
          <w:szCs w:val="28"/>
          <w:lang w:val="en-US" w:eastAsia="zh-CN"/>
        </w:rPr>
        <w:t>12</w:t>
      </w:r>
      <w:r>
        <w:rPr>
          <w:rFonts w:hint="eastAsia" w:ascii="仿宋" w:hAnsi="仿宋" w:eastAsia="仿宋" w:cs="仿宋"/>
          <w:color w:val="auto"/>
          <w:sz w:val="28"/>
          <w:szCs w:val="28"/>
        </w:rPr>
        <w:t>月</w:t>
      </w: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日经</w:t>
      </w:r>
      <w:r>
        <w:rPr>
          <w:rFonts w:hint="eastAsia" w:ascii="仿宋" w:hAnsi="仿宋" w:eastAsia="仿宋" w:cs="仿宋"/>
          <w:sz w:val="28"/>
          <w:szCs w:val="28"/>
        </w:rPr>
        <w:t>市国土局批准立项的</w:t>
      </w:r>
      <w:r>
        <w:rPr>
          <w:rFonts w:hint="eastAsia" w:ascii="仿宋" w:hAnsi="仿宋" w:eastAsia="仿宋" w:cs="仿宋"/>
          <w:sz w:val="28"/>
          <w:szCs w:val="28"/>
          <w:lang w:val="en-US" w:eastAsia="zh-CN"/>
        </w:rPr>
        <w:t>高标准基本农田建设项目</w:t>
      </w:r>
      <w:r>
        <w:rPr>
          <w:rFonts w:hint="eastAsia" w:ascii="仿宋" w:hAnsi="仿宋" w:eastAsia="仿宋" w:cs="仿宋"/>
          <w:sz w:val="28"/>
          <w:szCs w:val="28"/>
          <w:lang w:eastAsia="zh-CN"/>
        </w:rPr>
        <w:t>，</w:t>
      </w:r>
      <w:r>
        <w:rPr>
          <w:rFonts w:hint="eastAsia" w:ascii="仿宋" w:hAnsi="仿宋" w:eastAsia="仿宋" w:cs="仿宋"/>
          <w:sz w:val="28"/>
          <w:szCs w:val="28"/>
        </w:rPr>
        <w:t>项目规模</w:t>
      </w:r>
      <w:r>
        <w:rPr>
          <w:rFonts w:hint="eastAsia" w:ascii="仿宋" w:hAnsi="仿宋" w:eastAsia="仿宋" w:cs="仿宋"/>
          <w:color w:val="auto"/>
          <w:sz w:val="28"/>
          <w:szCs w:val="28"/>
          <w:lang w:val="en-US" w:eastAsia="zh-CN"/>
        </w:rPr>
        <w:t>1681.2262</w:t>
      </w:r>
      <w:r>
        <w:rPr>
          <w:rFonts w:hint="eastAsia" w:ascii="仿宋" w:hAnsi="仿宋" w:eastAsia="仿宋" w:cs="仿宋"/>
          <w:color w:val="auto"/>
          <w:sz w:val="28"/>
          <w:szCs w:val="28"/>
        </w:rPr>
        <w:t>公顷</w:t>
      </w:r>
      <w:r>
        <w:rPr>
          <w:rFonts w:hint="eastAsia" w:ascii="仿宋" w:hAnsi="仿宋" w:eastAsia="仿宋" w:cs="仿宋"/>
          <w:sz w:val="28"/>
          <w:szCs w:val="28"/>
        </w:rPr>
        <w:t>，</w:t>
      </w:r>
      <w:r>
        <w:rPr>
          <w:rFonts w:hint="eastAsia" w:ascii="仿宋" w:hAnsi="仿宋" w:eastAsia="仿宋" w:cs="仿宋"/>
          <w:color w:val="auto"/>
          <w:sz w:val="28"/>
          <w:szCs w:val="28"/>
          <w:lang w:eastAsia="zh-CN"/>
        </w:rPr>
        <w:t>项目总投资</w:t>
      </w:r>
      <w:r>
        <w:rPr>
          <w:rFonts w:hint="eastAsia" w:ascii="仿宋" w:hAnsi="仿宋" w:eastAsia="仿宋" w:cs="仿宋"/>
          <w:color w:val="auto"/>
          <w:sz w:val="28"/>
          <w:szCs w:val="28"/>
          <w:lang w:val="en-US" w:eastAsia="zh-CN"/>
        </w:rPr>
        <w:t>1282.6753</w:t>
      </w:r>
      <w:r>
        <w:rPr>
          <w:rFonts w:hint="eastAsia" w:ascii="仿宋" w:hAnsi="仿宋" w:eastAsia="仿宋" w:cs="仿宋"/>
          <w:sz w:val="28"/>
          <w:szCs w:val="28"/>
        </w:rPr>
        <w:t>万元，</w:t>
      </w:r>
      <w:r>
        <w:rPr>
          <w:rFonts w:hint="eastAsia" w:ascii="仿宋_GB2312" w:eastAsia="仿宋_GB2312"/>
          <w:sz w:val="28"/>
          <w:szCs w:val="28"/>
        </w:rPr>
        <w:t>该项目于2016年5月开工至2017年5月竣工，由河北康伟建筑有限公司、河北如成建筑工程有限公司、河北川脉建筑工程有限公司、灵寿县第二建筑工程公司、井陉县大春建筑工程有限公司、石家庄广德市政工程有限公司、河北一方建设工程有限公司、河北中昌建筑工程有限公司、河北万宇建筑工程有限公司、石家庄德贤建筑工程有限公司共同进行工程施工建设。</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800" w:leftChars="0" w:firstLine="0" w:firstLineChars="0"/>
        <w:textAlignment w:val="auto"/>
        <w:rPr>
          <w:rFonts w:hint="eastAsia" w:ascii="仿宋_GB2312" w:eastAsia="仿宋_GB2312"/>
          <w:sz w:val="28"/>
          <w:szCs w:val="28"/>
        </w:rPr>
      </w:pPr>
      <w:r>
        <w:rPr>
          <w:rFonts w:hint="eastAsia" w:ascii="仿宋_GB2312" w:eastAsia="仿宋_GB2312"/>
          <w:sz w:val="28"/>
          <w:szCs w:val="28"/>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rPr>
        <w:t>田间道路工程</w:t>
      </w:r>
      <w:r>
        <w:rPr>
          <w:rFonts w:hint="eastAsia" w:ascii="仿宋_GB2312" w:eastAsia="仿宋_GB2312"/>
          <w:sz w:val="28"/>
          <w:szCs w:val="28"/>
          <w:lang w:eastAsia="zh-CN"/>
        </w:rPr>
        <w:t>：</w:t>
      </w:r>
      <w:r>
        <w:rPr>
          <w:rFonts w:hint="eastAsia" w:ascii="仿宋_GB2312" w:eastAsia="仿宋_GB2312"/>
          <w:sz w:val="28"/>
          <w:szCs w:val="28"/>
        </w:rPr>
        <w:t>新修3</w:t>
      </w:r>
      <w:r>
        <w:rPr>
          <w:rFonts w:hint="eastAsia" w:ascii="仿宋_GB2312" w:eastAsia="仿宋_GB2312"/>
          <w:sz w:val="28"/>
          <w:szCs w:val="28"/>
          <w:lang w:val="en-US" w:eastAsia="zh-CN"/>
        </w:rPr>
        <w:t>.6</w:t>
      </w:r>
      <w:r>
        <w:rPr>
          <w:rFonts w:hint="eastAsia" w:ascii="仿宋_GB2312" w:eastAsia="仿宋_GB2312"/>
          <w:sz w:val="28"/>
          <w:szCs w:val="28"/>
        </w:rPr>
        <w:t>米水泥路</w:t>
      </w:r>
      <w:r>
        <w:rPr>
          <w:rFonts w:hint="eastAsia" w:ascii="仿宋_GB2312" w:eastAsia="仿宋_GB2312"/>
          <w:sz w:val="28"/>
          <w:szCs w:val="28"/>
          <w:lang w:val="en-US" w:eastAsia="zh-CN"/>
        </w:rPr>
        <w:t>130.7</w:t>
      </w:r>
      <w:r>
        <w:rPr>
          <w:rFonts w:hint="eastAsia" w:ascii="仿宋_GB2312" w:eastAsia="仿宋_GB2312"/>
          <w:sz w:val="28"/>
          <w:szCs w:val="28"/>
        </w:rPr>
        <w:t>米，</w:t>
      </w:r>
      <w:r>
        <w:rPr>
          <w:rFonts w:hint="eastAsia" w:ascii="仿宋_GB2312" w:eastAsia="仿宋_GB2312"/>
          <w:sz w:val="28"/>
          <w:szCs w:val="28"/>
          <w:lang w:val="en-US" w:eastAsia="zh-CN"/>
        </w:rPr>
        <w:t>3.85</w:t>
      </w:r>
      <w:r>
        <w:rPr>
          <w:rFonts w:hint="eastAsia" w:ascii="仿宋_GB2312" w:eastAsia="仿宋_GB2312"/>
          <w:sz w:val="28"/>
          <w:szCs w:val="28"/>
        </w:rPr>
        <w:t>米水泥路</w:t>
      </w:r>
      <w:r>
        <w:rPr>
          <w:rFonts w:hint="eastAsia" w:ascii="仿宋_GB2312" w:eastAsia="仿宋_GB2312"/>
          <w:sz w:val="28"/>
          <w:szCs w:val="28"/>
          <w:lang w:val="en-US" w:eastAsia="zh-CN"/>
        </w:rPr>
        <w:t>60米，4</w:t>
      </w:r>
      <w:r>
        <w:rPr>
          <w:rFonts w:hint="eastAsia" w:ascii="仿宋_GB2312" w:eastAsia="仿宋_GB2312"/>
          <w:sz w:val="28"/>
          <w:szCs w:val="28"/>
        </w:rPr>
        <w:t>米水泥路</w:t>
      </w:r>
      <w:r>
        <w:rPr>
          <w:rFonts w:hint="eastAsia" w:ascii="仿宋_GB2312" w:eastAsia="仿宋_GB2312"/>
          <w:sz w:val="28"/>
          <w:szCs w:val="28"/>
          <w:lang w:val="en-US" w:eastAsia="zh-CN"/>
        </w:rPr>
        <w:t>71888米</w:t>
      </w:r>
      <w:r>
        <w:rPr>
          <w:rFonts w:hint="eastAsia" w:ascii="仿宋_GB2312" w:eastAsia="仿宋_GB2312"/>
          <w:sz w:val="28"/>
          <w:szCs w:val="28"/>
        </w:rPr>
        <w:t>。其他工程</w:t>
      </w:r>
      <w:r>
        <w:rPr>
          <w:rFonts w:hint="eastAsia" w:ascii="仿宋_GB2312" w:eastAsia="仿宋_GB2312"/>
          <w:sz w:val="28"/>
          <w:szCs w:val="28"/>
          <w:lang w:eastAsia="zh-CN"/>
        </w:rPr>
        <w:t>：</w:t>
      </w:r>
      <w:r>
        <w:rPr>
          <w:rFonts w:hint="eastAsia" w:ascii="仿宋_GB2312" w:eastAsia="仿宋_GB2312"/>
          <w:sz w:val="28"/>
          <w:szCs w:val="28"/>
        </w:rPr>
        <w:t>标志牌</w:t>
      </w:r>
      <w:r>
        <w:rPr>
          <w:rFonts w:hint="eastAsia" w:ascii="仿宋_GB2312" w:eastAsia="仿宋_GB2312"/>
          <w:sz w:val="28"/>
          <w:szCs w:val="28"/>
          <w:lang w:val="en-US" w:eastAsia="zh-CN"/>
        </w:rPr>
        <w:t>3</w:t>
      </w:r>
      <w:r>
        <w:rPr>
          <w:rFonts w:hint="eastAsia" w:ascii="仿宋_GB2312" w:eastAsia="仿宋_GB2312"/>
          <w:sz w:val="28"/>
          <w:szCs w:val="28"/>
        </w:rPr>
        <w:t>座。</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733" w:firstLineChars="262"/>
        <w:textAlignment w:val="auto"/>
        <w:rPr>
          <w:rFonts w:hint="eastAsia" w:ascii="仿宋_GB2312" w:eastAsia="仿宋_GB2312"/>
          <w:sz w:val="28"/>
          <w:szCs w:val="28"/>
        </w:rPr>
      </w:pPr>
      <w:r>
        <w:rPr>
          <w:rFonts w:hint="eastAsia" w:ascii="仿宋_GB2312" w:eastAsia="仿宋_GB2312"/>
          <w:sz w:val="28"/>
          <w:szCs w:val="28"/>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lang w:val="en-US" w:eastAsia="zh-CN"/>
        </w:rPr>
        <w:t>三个</w:t>
      </w:r>
      <w:r>
        <w:rPr>
          <w:rFonts w:hint="eastAsia" w:ascii="仿宋_GB2312" w:eastAsia="仿宋_GB2312"/>
          <w:sz w:val="28"/>
          <w:szCs w:val="28"/>
        </w:rPr>
        <w:t>项目由藁城区财政局拨付资金，总投资</w:t>
      </w:r>
      <w:r>
        <w:rPr>
          <w:rFonts w:hint="eastAsia" w:ascii="仿宋_GB2312" w:eastAsia="仿宋_GB2312"/>
          <w:sz w:val="28"/>
          <w:szCs w:val="28"/>
          <w:lang w:val="en-US" w:eastAsia="zh-CN"/>
        </w:rPr>
        <w:t>2558.3027</w:t>
      </w:r>
      <w:r>
        <w:rPr>
          <w:rFonts w:hint="eastAsia" w:ascii="仿宋_GB2312" w:eastAsia="仿宋_GB2312"/>
          <w:sz w:val="28"/>
          <w:szCs w:val="28"/>
        </w:rPr>
        <w:t>万元。</w:t>
      </w:r>
    </w:p>
    <w:p>
      <w:pPr>
        <w:keepNext w:val="0"/>
        <w:keepLines w:val="0"/>
        <w:pageBreakBefore w:val="0"/>
        <w:widowControl w:val="0"/>
        <w:kinsoku/>
        <w:wordWrap/>
        <w:overflowPunct/>
        <w:topLinePunct w:val="0"/>
        <w:autoSpaceDE/>
        <w:autoSpaceDN/>
        <w:bidi w:val="0"/>
        <w:adjustRightInd w:val="0"/>
        <w:snapToGrid w:val="0"/>
        <w:spacing w:line="560" w:lineRule="exact"/>
        <w:ind w:firstLine="700" w:firstLineChars="250"/>
        <w:textAlignment w:val="auto"/>
        <w:rPr>
          <w:rFonts w:hint="eastAsia" w:ascii="仿宋_GB2312" w:eastAsia="仿宋_GB2312"/>
          <w:sz w:val="28"/>
          <w:szCs w:val="28"/>
        </w:rPr>
      </w:pPr>
      <w:r>
        <w:rPr>
          <w:rFonts w:hint="eastAsia" w:ascii="仿宋_GB2312" w:eastAsia="仿宋_GB2312"/>
          <w:sz w:val="28"/>
          <w:szCs w:val="28"/>
        </w:rPr>
        <w:t>4.项目实施过程</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rPr>
        <w:t>（1）业务管理情况分析。</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rPr>
        <w:t>项目法人制度</w:t>
      </w:r>
      <w:r>
        <w:rPr>
          <w:rFonts w:hint="eastAsia" w:ascii="仿宋_GB2312" w:eastAsia="仿宋_GB2312"/>
          <w:sz w:val="28"/>
          <w:szCs w:val="28"/>
          <w:lang w:eastAsia="zh-CN"/>
        </w:rPr>
        <w:t>：</w:t>
      </w:r>
      <w:r>
        <w:rPr>
          <w:rFonts w:hint="eastAsia" w:ascii="仿宋_GB2312" w:eastAsia="仿宋_GB2312"/>
          <w:sz w:val="28"/>
          <w:szCs w:val="28"/>
        </w:rPr>
        <w:t>项目实施过程中，藁城区国土资源局作为项目法人，负责本项目的策划和实施，负责本辖区内土地的管理和监督工作。</w:t>
      </w:r>
    </w:p>
    <w:p>
      <w:pPr>
        <w:keepNext w:val="0"/>
        <w:keepLines w:val="0"/>
        <w:pageBreakBefore w:val="0"/>
        <w:widowControl w:val="0"/>
        <w:kinsoku/>
        <w:wordWrap/>
        <w:overflowPunct/>
        <w:topLinePunct w:val="0"/>
        <w:autoSpaceDE/>
        <w:autoSpaceDN/>
        <w:bidi w:val="0"/>
        <w:spacing w:line="560" w:lineRule="exact"/>
        <w:ind w:firstLine="562" w:firstLineChars="200"/>
        <w:textAlignment w:val="auto"/>
        <w:rPr>
          <w:rFonts w:hint="eastAsia" w:ascii="仿宋_GB2312" w:eastAsia="仿宋_GB2312"/>
          <w:sz w:val="28"/>
          <w:szCs w:val="28"/>
        </w:rPr>
      </w:pPr>
      <w:r>
        <w:rPr>
          <w:rFonts w:hint="eastAsia" w:ascii="仿宋_GB2312" w:eastAsia="仿宋_GB2312"/>
          <w:b/>
          <w:bCs/>
          <w:sz w:val="28"/>
          <w:szCs w:val="28"/>
        </w:rPr>
        <w:t>项目招投标制</w:t>
      </w:r>
      <w:r>
        <w:rPr>
          <w:rFonts w:hint="eastAsia" w:ascii="仿宋_GB2312" w:eastAsia="仿宋_GB2312"/>
          <w:b/>
          <w:bCs/>
          <w:sz w:val="28"/>
          <w:szCs w:val="28"/>
          <w:lang w:eastAsia="zh-CN"/>
        </w:rPr>
        <w:t>：</w:t>
      </w:r>
      <w:r>
        <w:rPr>
          <w:rFonts w:hint="eastAsia" w:ascii="仿宋_GB2312" w:eastAsia="仿宋_GB2312"/>
          <w:sz w:val="28"/>
          <w:szCs w:val="28"/>
        </w:rPr>
        <w:t>项目工程实施严格按照《河北省土地开发整理项目工程施工招标投标管理暂行办法》的规定组织了招投标。</w:t>
      </w:r>
    </w:p>
    <w:p>
      <w:pPr>
        <w:keepNext w:val="0"/>
        <w:keepLines w:val="0"/>
        <w:pageBreakBefore w:val="0"/>
        <w:widowControl w:val="0"/>
        <w:kinsoku/>
        <w:wordWrap/>
        <w:overflowPunct/>
        <w:topLinePunct w:val="0"/>
        <w:autoSpaceDE/>
        <w:autoSpaceDN/>
        <w:bidi w:val="0"/>
        <w:spacing w:line="560" w:lineRule="exact"/>
        <w:ind w:firstLine="562" w:firstLineChars="200"/>
        <w:textAlignment w:val="auto"/>
        <w:rPr>
          <w:rFonts w:hint="eastAsia" w:ascii="仿宋_GB2312" w:eastAsia="仿宋_GB2312"/>
          <w:sz w:val="28"/>
          <w:szCs w:val="28"/>
        </w:rPr>
      </w:pPr>
      <w:r>
        <w:rPr>
          <w:rFonts w:hint="eastAsia" w:ascii="仿宋_GB2312" w:eastAsia="仿宋_GB2312"/>
          <w:b/>
          <w:bCs/>
          <w:sz w:val="28"/>
          <w:szCs w:val="28"/>
        </w:rPr>
        <w:t>项目监理制</w:t>
      </w:r>
      <w:r>
        <w:rPr>
          <w:rFonts w:hint="eastAsia" w:ascii="仿宋_GB2312" w:eastAsia="仿宋_GB2312"/>
          <w:b/>
          <w:bCs/>
          <w:sz w:val="28"/>
          <w:szCs w:val="28"/>
          <w:lang w:eastAsia="zh-CN"/>
        </w:rPr>
        <w:t>：</w:t>
      </w:r>
      <w:r>
        <w:rPr>
          <w:rFonts w:hint="eastAsia" w:ascii="仿宋_GB2312" w:eastAsia="仿宋_GB2312"/>
          <w:sz w:val="28"/>
          <w:szCs w:val="28"/>
        </w:rPr>
        <w:t>在项目实施过程中，委托有资质的监理单位对项目工程实施进行监理，保证了项目工程按质按量完成。</w:t>
      </w:r>
    </w:p>
    <w:p>
      <w:pPr>
        <w:keepNext w:val="0"/>
        <w:keepLines w:val="0"/>
        <w:pageBreakBefore w:val="0"/>
        <w:widowControl w:val="0"/>
        <w:kinsoku/>
        <w:wordWrap/>
        <w:overflowPunct/>
        <w:topLinePunct w:val="0"/>
        <w:autoSpaceDE/>
        <w:autoSpaceDN/>
        <w:bidi w:val="0"/>
        <w:spacing w:line="560" w:lineRule="exact"/>
        <w:ind w:firstLine="562" w:firstLineChars="200"/>
        <w:textAlignment w:val="auto"/>
        <w:rPr>
          <w:rFonts w:hint="eastAsia" w:ascii="仿宋_GB2312" w:eastAsia="仿宋_GB2312"/>
          <w:sz w:val="28"/>
          <w:szCs w:val="28"/>
        </w:rPr>
      </w:pPr>
      <w:r>
        <w:rPr>
          <w:rFonts w:hint="eastAsia" w:ascii="仿宋_GB2312" w:eastAsia="仿宋_GB2312"/>
          <w:b/>
          <w:bCs/>
          <w:sz w:val="28"/>
          <w:szCs w:val="28"/>
        </w:rPr>
        <w:t>项目工程合同制</w:t>
      </w:r>
      <w:r>
        <w:rPr>
          <w:rFonts w:hint="eastAsia" w:ascii="仿宋_GB2312" w:eastAsia="仿宋_GB2312"/>
          <w:b/>
          <w:bCs/>
          <w:sz w:val="28"/>
          <w:szCs w:val="28"/>
          <w:lang w:eastAsia="zh-CN"/>
        </w:rPr>
        <w:t>：</w:t>
      </w:r>
      <w:r>
        <w:rPr>
          <w:rFonts w:hint="eastAsia" w:ascii="仿宋_GB2312" w:eastAsia="仿宋_GB2312"/>
          <w:sz w:val="28"/>
          <w:szCs w:val="28"/>
        </w:rPr>
        <w:t>藁城区国土资源局同施工、监理单位签订了合同，通过合同合理划分各方的权、责、利，做到了权利与责任明确具体化。</w:t>
      </w:r>
    </w:p>
    <w:p>
      <w:pPr>
        <w:keepNext w:val="0"/>
        <w:keepLines w:val="0"/>
        <w:pageBreakBefore w:val="0"/>
        <w:widowControl w:val="0"/>
        <w:kinsoku/>
        <w:wordWrap/>
        <w:overflowPunct/>
        <w:topLinePunct w:val="0"/>
        <w:autoSpaceDE/>
        <w:autoSpaceDN/>
        <w:bidi w:val="0"/>
        <w:spacing w:line="560" w:lineRule="exact"/>
        <w:ind w:firstLine="562" w:firstLineChars="200"/>
        <w:textAlignment w:val="auto"/>
        <w:rPr>
          <w:rFonts w:hint="eastAsia" w:ascii="仿宋_GB2312" w:eastAsia="仿宋_GB2312"/>
          <w:sz w:val="28"/>
          <w:szCs w:val="28"/>
        </w:rPr>
      </w:pPr>
      <w:r>
        <w:rPr>
          <w:rFonts w:hint="eastAsia" w:ascii="仿宋_GB2312" w:eastAsia="仿宋_GB2312"/>
          <w:b/>
          <w:bCs/>
          <w:sz w:val="28"/>
          <w:szCs w:val="28"/>
        </w:rPr>
        <w:t>项目工程公告制度</w:t>
      </w:r>
      <w:r>
        <w:rPr>
          <w:rFonts w:hint="eastAsia" w:ascii="仿宋_GB2312" w:eastAsia="仿宋_GB2312"/>
          <w:b/>
          <w:bCs/>
          <w:sz w:val="28"/>
          <w:szCs w:val="28"/>
          <w:lang w:eastAsia="zh-CN"/>
        </w:rPr>
        <w:t>：</w:t>
      </w:r>
      <w:r>
        <w:rPr>
          <w:rFonts w:hint="eastAsia" w:ascii="仿宋_GB2312" w:eastAsia="仿宋_GB2312"/>
          <w:sz w:val="28"/>
          <w:szCs w:val="28"/>
        </w:rPr>
        <w:t>项目开工前对项目工程进行了公告，通过公告，使群众真正对项目工程有了一个初步认识，项目公告制度的落实，对接受群众和社会的监督，保护农村经济组织、农村村民、其他权利人的合法权益提供了便利条件。</w:t>
      </w:r>
    </w:p>
    <w:p>
      <w:pPr>
        <w:keepNext w:val="0"/>
        <w:keepLines w:val="0"/>
        <w:pageBreakBefore w:val="0"/>
        <w:widowControl w:val="0"/>
        <w:kinsoku/>
        <w:wordWrap/>
        <w:overflowPunct/>
        <w:topLinePunct w:val="0"/>
        <w:autoSpaceDE/>
        <w:autoSpaceDN/>
        <w:bidi w:val="0"/>
        <w:spacing w:line="560" w:lineRule="exact"/>
        <w:ind w:firstLine="562" w:firstLineChars="200"/>
        <w:textAlignment w:val="auto"/>
        <w:rPr>
          <w:rFonts w:hint="eastAsia" w:ascii="仿宋_GB2312" w:eastAsia="仿宋_GB2312"/>
          <w:sz w:val="28"/>
          <w:szCs w:val="28"/>
        </w:rPr>
      </w:pPr>
      <w:r>
        <w:rPr>
          <w:rFonts w:hint="eastAsia" w:ascii="仿宋_GB2312" w:eastAsia="仿宋_GB2312"/>
          <w:b/>
          <w:bCs/>
          <w:sz w:val="28"/>
          <w:szCs w:val="28"/>
        </w:rPr>
        <w:t>村民小组监督制</w:t>
      </w:r>
      <w:r>
        <w:rPr>
          <w:rFonts w:hint="eastAsia" w:ascii="仿宋_GB2312" w:eastAsia="仿宋_GB2312"/>
          <w:b/>
          <w:bCs/>
          <w:sz w:val="28"/>
          <w:szCs w:val="28"/>
          <w:lang w:eastAsia="zh-CN"/>
        </w:rPr>
        <w:t>：</w:t>
      </w:r>
      <w:r>
        <w:rPr>
          <w:rFonts w:hint="eastAsia" w:ascii="仿宋_GB2312" w:eastAsia="仿宋_GB2312"/>
          <w:sz w:val="28"/>
          <w:szCs w:val="28"/>
        </w:rPr>
        <w:t>在项目实施前，藁城区国土资源局同项目涉及村经济组织沟通，由当地村经济组织从村民中选取德高望重的村民，成立了村民监督小组，负责对项目区工程施工进行监督，保证了项目按照设计要求施工。</w:t>
      </w:r>
    </w:p>
    <w:p>
      <w:pPr>
        <w:keepNext w:val="0"/>
        <w:keepLines w:val="0"/>
        <w:pageBreakBefore w:val="0"/>
        <w:widowControl w:val="0"/>
        <w:kinsoku/>
        <w:wordWrap/>
        <w:overflowPunct/>
        <w:topLinePunct w:val="0"/>
        <w:autoSpaceDE/>
        <w:autoSpaceDN/>
        <w:bidi w:val="0"/>
        <w:spacing w:line="560" w:lineRule="exact"/>
        <w:ind w:firstLine="562" w:firstLineChars="200"/>
        <w:textAlignment w:val="auto"/>
        <w:rPr>
          <w:rFonts w:hint="eastAsia" w:ascii="仿宋_GB2312" w:eastAsia="仿宋_GB2312"/>
          <w:sz w:val="28"/>
          <w:szCs w:val="28"/>
        </w:rPr>
      </w:pPr>
      <w:r>
        <w:rPr>
          <w:rFonts w:hint="eastAsia" w:ascii="仿宋_GB2312" w:eastAsia="仿宋_GB2312"/>
          <w:b/>
          <w:bCs/>
          <w:sz w:val="28"/>
          <w:szCs w:val="28"/>
        </w:rPr>
        <w:t>全程审计制</w:t>
      </w:r>
      <w:r>
        <w:rPr>
          <w:rFonts w:hint="eastAsia" w:ascii="仿宋_GB2312" w:eastAsia="仿宋_GB2312"/>
          <w:b/>
          <w:bCs/>
          <w:sz w:val="28"/>
          <w:szCs w:val="28"/>
          <w:lang w:eastAsia="zh-CN"/>
        </w:rPr>
        <w:t>：</w:t>
      </w:r>
      <w:r>
        <w:rPr>
          <w:rFonts w:hint="eastAsia" w:ascii="仿宋_GB2312" w:eastAsia="仿宋_GB2312"/>
          <w:sz w:val="28"/>
          <w:szCs w:val="28"/>
        </w:rPr>
        <w:t>项目完工后，委托审计机构对项目资金情况进行了审计。</w:t>
      </w:r>
    </w:p>
    <w:p>
      <w:pPr>
        <w:keepNext w:val="0"/>
        <w:keepLines w:val="0"/>
        <w:pageBreakBefore w:val="0"/>
        <w:widowControl w:val="0"/>
        <w:numPr>
          <w:ilvl w:val="0"/>
          <w:numId w:val="2"/>
        </w:numPr>
        <w:kinsoku/>
        <w:wordWrap/>
        <w:overflowPunct/>
        <w:topLinePunct w:val="0"/>
        <w:autoSpaceDE/>
        <w:autoSpaceDN/>
        <w:bidi w:val="0"/>
        <w:spacing w:line="560" w:lineRule="exact"/>
        <w:ind w:firstLine="280" w:firstLineChars="100"/>
        <w:textAlignment w:val="auto"/>
        <w:rPr>
          <w:rFonts w:hint="eastAsia" w:ascii="仿宋_GB2312" w:eastAsia="仿宋_GB2312"/>
          <w:sz w:val="28"/>
          <w:szCs w:val="28"/>
        </w:rPr>
      </w:pPr>
      <w:r>
        <w:rPr>
          <w:rFonts w:hint="eastAsia" w:ascii="仿宋_GB2312" w:eastAsia="仿宋_GB2312"/>
          <w:sz w:val="28"/>
          <w:szCs w:val="28"/>
        </w:rPr>
        <w:t>财务管理</w:t>
      </w:r>
      <w:r>
        <w:rPr>
          <w:rFonts w:hint="eastAsia" w:ascii="仿宋_GB2312" w:eastAsia="仿宋_GB2312"/>
          <w:sz w:val="28"/>
          <w:szCs w:val="28"/>
          <w:lang w:eastAsia="zh-CN"/>
        </w:rPr>
        <w:t>。</w:t>
      </w:r>
    </w:p>
    <w:p>
      <w:pPr>
        <w:keepNext w:val="0"/>
        <w:keepLines w:val="0"/>
        <w:pageBreakBefore w:val="0"/>
        <w:widowControl w:val="0"/>
        <w:numPr>
          <w:ilvl w:val="0"/>
          <w:numId w:val="0"/>
        </w:numPr>
        <w:kinsoku/>
        <w:wordWrap/>
        <w:overflowPunct/>
        <w:topLinePunct w:val="0"/>
        <w:autoSpaceDE/>
        <w:autoSpaceDN/>
        <w:bidi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lang w:val="en-US" w:eastAsia="zh-CN"/>
        </w:rPr>
        <w:t>三个</w:t>
      </w:r>
      <w:r>
        <w:rPr>
          <w:rFonts w:hint="eastAsia" w:ascii="仿宋_GB2312" w:eastAsia="仿宋_GB2312"/>
          <w:sz w:val="28"/>
          <w:szCs w:val="28"/>
        </w:rPr>
        <w:t>项目由藁城区财政局拨付资金，总投资2558.3027万元。</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楷体_GB2312" w:hAnsi="楷体_GB2312" w:eastAsia="楷体_GB2312" w:cs="楷体_GB2312"/>
          <w:b/>
          <w:bCs/>
          <w:color w:val="auto"/>
          <w:sz w:val="28"/>
          <w:szCs w:val="28"/>
        </w:rPr>
      </w:pPr>
      <w:r>
        <w:rPr>
          <w:rFonts w:hint="eastAsia" w:ascii="楷体_GB2312" w:hAnsi="楷体_GB2312" w:eastAsia="楷体_GB2312" w:cs="楷体_GB2312"/>
          <w:color w:val="auto"/>
          <w:sz w:val="28"/>
          <w:szCs w:val="28"/>
        </w:rPr>
        <w:t>（二）项目预期绩效目标</w:t>
      </w:r>
    </w:p>
    <w:p>
      <w:pPr>
        <w:keepNext w:val="0"/>
        <w:keepLines w:val="0"/>
        <w:pageBreakBefore w:val="0"/>
        <w:widowControl w:val="0"/>
        <w:kinsoku/>
        <w:wordWrap/>
        <w:overflowPunct/>
        <w:topLinePunct w:val="0"/>
        <w:autoSpaceDE/>
        <w:autoSpaceDN/>
        <w:bidi w:val="0"/>
        <w:spacing w:line="560" w:lineRule="exact"/>
        <w:ind w:firstLine="660"/>
        <w:textAlignment w:val="auto"/>
        <w:rPr>
          <w:rFonts w:hint="eastAsia" w:ascii="仿宋_GB2312" w:eastAsia="仿宋_GB2312"/>
          <w:sz w:val="28"/>
          <w:szCs w:val="28"/>
        </w:rPr>
      </w:pPr>
      <w:r>
        <w:rPr>
          <w:rFonts w:hint="eastAsia" w:ascii="仿宋_GB2312" w:eastAsia="仿宋_GB2312"/>
          <w:sz w:val="28"/>
          <w:szCs w:val="28"/>
        </w:rPr>
        <w:t>土地整治项目结合村庄统一规划，统一建设，有力的支持了社会主义新农村建设，改善了农村农民生产、生活条件及生活质量提高，促使农村整体面貌得到较大的改观，为逐步把农村建设成为“生产发展、生活富裕、乡风文明、村容整洁、管理民主、文化生活提高的社会主义新农村打下坚实的基础</w:t>
      </w:r>
      <w:r>
        <w:rPr>
          <w:rFonts w:hint="eastAsia" w:ascii="仿宋_GB2312" w:eastAsia="仿宋_GB2312"/>
          <w:sz w:val="28"/>
          <w:szCs w:val="28"/>
          <w:lang w:eastAsia="zh-CN"/>
        </w:rPr>
        <w:t>，</w:t>
      </w:r>
      <w:r>
        <w:rPr>
          <w:rFonts w:hint="eastAsia" w:ascii="仿宋_GB2312" w:eastAsia="仿宋_GB2312"/>
          <w:sz w:val="28"/>
          <w:szCs w:val="28"/>
        </w:rPr>
        <w:t>增加农用地面积，农民收入提高，促进了社会稳定。通过土地整治，当地农民人均耕地面积增加，农村劳动力有地经营，收入增加，稳定了当地农业基础地位，保证了社会健康稳定发展。</w:t>
      </w:r>
    </w:p>
    <w:p>
      <w:pPr>
        <w:keepNext w:val="0"/>
        <w:keepLines w:val="0"/>
        <w:pageBreakBefore w:val="0"/>
        <w:widowControl w:val="0"/>
        <w:kinsoku/>
        <w:wordWrap/>
        <w:overflowPunct/>
        <w:topLinePunct w:val="0"/>
        <w:autoSpaceDE/>
        <w:autoSpaceDN/>
        <w:bidi w:val="0"/>
        <w:spacing w:line="560" w:lineRule="exact"/>
        <w:textAlignment w:val="auto"/>
        <w:rPr>
          <w:rFonts w:hint="eastAsia" w:ascii="黑体" w:hAnsi="黑体" w:eastAsia="黑体" w:cs="黑体"/>
          <w:sz w:val="28"/>
          <w:szCs w:val="28"/>
        </w:rPr>
      </w:pPr>
      <w:r>
        <w:rPr>
          <w:rFonts w:hint="eastAsia" w:ascii="黑体" w:hAnsi="黑体" w:eastAsia="黑体" w:cs="黑体"/>
          <w:sz w:val="28"/>
          <w:szCs w:val="28"/>
        </w:rPr>
        <w:t>二、项目执行及绩效实际情况</w:t>
      </w:r>
    </w:p>
    <w:p>
      <w:pPr>
        <w:keepNext w:val="0"/>
        <w:keepLines w:val="0"/>
        <w:pageBreakBefore w:val="0"/>
        <w:widowControl w:val="0"/>
        <w:kinsoku/>
        <w:wordWrap/>
        <w:overflowPunct/>
        <w:topLinePunct w:val="0"/>
        <w:autoSpaceDE/>
        <w:autoSpaceDN/>
        <w:bidi w:val="0"/>
        <w:spacing w:line="560" w:lineRule="exact"/>
        <w:ind w:firstLine="554" w:firstLineChars="198"/>
        <w:textAlignment w:val="auto"/>
        <w:rPr>
          <w:rFonts w:hint="eastAsia" w:ascii="仿宋_GB2312" w:eastAsia="仿宋_GB2312"/>
          <w:sz w:val="28"/>
          <w:szCs w:val="28"/>
        </w:rPr>
      </w:pPr>
      <w:r>
        <w:rPr>
          <w:rFonts w:hint="eastAsia" w:ascii="楷体_GB2312" w:hAnsi="楷体_GB2312" w:eastAsia="楷体_GB2312" w:cs="楷体_GB2312"/>
          <w:sz w:val="28"/>
          <w:szCs w:val="28"/>
        </w:rPr>
        <w:t>（一）产出指标完成情况分析</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default" w:ascii="仿宋_GB2312" w:eastAsia="仿宋_GB2312"/>
          <w:sz w:val="28"/>
          <w:szCs w:val="28"/>
          <w:lang w:val="en-US" w:eastAsia="zh-CN"/>
        </w:rPr>
      </w:pPr>
      <w:r>
        <w:rPr>
          <w:rFonts w:hint="eastAsia" w:ascii="仿宋_GB2312" w:eastAsia="仿宋_GB2312"/>
          <w:sz w:val="28"/>
          <w:szCs w:val="28"/>
        </w:rPr>
        <w:t>1、项目的实际完成率</w:t>
      </w:r>
      <w:r>
        <w:rPr>
          <w:rFonts w:hint="eastAsia" w:ascii="仿宋_GB2312" w:eastAsia="仿宋_GB2312"/>
          <w:sz w:val="28"/>
          <w:szCs w:val="28"/>
          <w:lang w:val="en-US" w:eastAsia="zh-CN"/>
        </w:rPr>
        <w:t>100%</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default" w:ascii="仿宋_GB2312" w:eastAsia="仿宋_GB2312"/>
          <w:sz w:val="28"/>
          <w:szCs w:val="28"/>
          <w:lang w:val="en-US" w:eastAsia="zh-CN"/>
        </w:rPr>
      </w:pPr>
      <w:r>
        <w:rPr>
          <w:rFonts w:hint="eastAsia" w:ascii="仿宋_GB2312" w:eastAsia="仿宋_GB2312"/>
          <w:sz w:val="28"/>
          <w:szCs w:val="28"/>
        </w:rPr>
        <w:t>2、项目完成及时率</w:t>
      </w:r>
      <w:r>
        <w:rPr>
          <w:rFonts w:hint="eastAsia" w:ascii="仿宋_GB2312" w:eastAsia="仿宋_GB2312"/>
          <w:sz w:val="28"/>
          <w:szCs w:val="28"/>
          <w:lang w:val="en-US" w:eastAsia="zh-CN"/>
        </w:rPr>
        <w:t>100%</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default" w:ascii="仿宋_GB2312" w:eastAsia="仿宋_GB2312"/>
          <w:sz w:val="28"/>
          <w:szCs w:val="28"/>
          <w:lang w:val="en-US" w:eastAsia="zh-CN"/>
        </w:rPr>
      </w:pPr>
      <w:r>
        <w:rPr>
          <w:rFonts w:hint="eastAsia" w:ascii="仿宋_GB2312" w:eastAsia="仿宋_GB2312"/>
          <w:sz w:val="28"/>
          <w:szCs w:val="28"/>
        </w:rPr>
        <w:t>3、项目完成质量达标率</w:t>
      </w:r>
      <w:r>
        <w:rPr>
          <w:rFonts w:hint="eastAsia" w:ascii="仿宋_GB2312" w:eastAsia="仿宋_GB2312"/>
          <w:sz w:val="28"/>
          <w:szCs w:val="28"/>
          <w:lang w:val="en-US" w:eastAsia="zh-CN"/>
        </w:rPr>
        <w:t>100%</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default" w:ascii="仿宋_GB2312" w:eastAsia="仿宋_GB2312"/>
          <w:sz w:val="28"/>
          <w:szCs w:val="28"/>
          <w:lang w:val="en-US" w:eastAsia="zh-CN"/>
        </w:rPr>
      </w:pPr>
      <w:r>
        <w:rPr>
          <w:rFonts w:hint="eastAsia" w:ascii="仿宋_GB2312" w:eastAsia="仿宋_GB2312"/>
          <w:sz w:val="28"/>
          <w:szCs w:val="28"/>
        </w:rPr>
        <w:t>4、项目成本节约率</w:t>
      </w:r>
      <w:r>
        <w:rPr>
          <w:rFonts w:hint="eastAsia" w:ascii="仿宋_GB2312" w:eastAsia="仿宋_GB2312"/>
          <w:sz w:val="28"/>
          <w:szCs w:val="28"/>
          <w:lang w:val="en-US" w:eastAsia="zh-CN"/>
        </w:rPr>
        <w:t>100%</w:t>
      </w:r>
    </w:p>
    <w:p>
      <w:pPr>
        <w:keepNext w:val="0"/>
        <w:keepLines w:val="0"/>
        <w:pageBreakBefore w:val="0"/>
        <w:widowControl w:val="0"/>
        <w:kinsoku/>
        <w:wordWrap/>
        <w:overflowPunct/>
        <w:topLinePunct w:val="0"/>
        <w:autoSpaceDE/>
        <w:autoSpaceDN/>
        <w:bidi w:val="0"/>
        <w:spacing w:line="560" w:lineRule="exact"/>
        <w:textAlignment w:val="auto"/>
        <w:rPr>
          <w:rFonts w:hint="eastAsia" w:ascii="楷体_GB2312" w:hAnsi="楷体_GB2312" w:eastAsia="楷体_GB2312" w:cs="楷体_GB2312"/>
          <w:sz w:val="28"/>
          <w:szCs w:val="28"/>
        </w:rPr>
      </w:pPr>
      <w:r>
        <w:rPr>
          <w:rFonts w:hint="eastAsia" w:ascii="楷体_GB2312" w:hAnsi="楷体_GB2312" w:eastAsia="楷体_GB2312" w:cs="楷体_GB2312"/>
          <w:b/>
          <w:bCs/>
          <w:sz w:val="28"/>
          <w:szCs w:val="28"/>
        </w:rPr>
        <w:t xml:space="preserve">    </w:t>
      </w:r>
      <w:r>
        <w:rPr>
          <w:rFonts w:hint="eastAsia" w:ascii="楷体_GB2312" w:hAnsi="楷体_GB2312" w:eastAsia="楷体_GB2312" w:cs="楷体_GB2312"/>
          <w:sz w:val="28"/>
          <w:szCs w:val="28"/>
        </w:rPr>
        <w:t>（二）效益指标完成情况分析</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eastAsia" w:ascii="仿宋_GB2312" w:eastAsia="仿宋_GB2312"/>
          <w:sz w:val="28"/>
          <w:szCs w:val="28"/>
          <w:lang w:val="en-US" w:eastAsia="zh-CN"/>
        </w:rPr>
      </w:pPr>
      <w:r>
        <w:rPr>
          <w:rFonts w:hint="eastAsia" w:ascii="仿宋_GB2312" w:eastAsia="仿宋_GB2312"/>
          <w:sz w:val="28"/>
          <w:szCs w:val="28"/>
        </w:rPr>
        <w:t>1、项目实施的经济效益分析</w:t>
      </w:r>
      <w:r>
        <w:rPr>
          <w:rFonts w:hint="eastAsia" w:ascii="仿宋_GB2312" w:eastAsia="仿宋_GB2312"/>
          <w:sz w:val="28"/>
          <w:szCs w:val="28"/>
          <w:lang w:eastAsia="zh-CN"/>
        </w:rPr>
        <w:t>：</w:t>
      </w:r>
      <w:r>
        <w:rPr>
          <w:rFonts w:hint="eastAsia" w:ascii="仿宋_GB2312" w:eastAsia="仿宋_GB2312"/>
          <w:sz w:val="28"/>
          <w:szCs w:val="28"/>
          <w:lang w:val="en-US" w:eastAsia="zh-CN"/>
        </w:rPr>
        <w:t>项目整治前，项目区基本农田总面积为 519.8401hm 2 ，全部为水浇地。根据当地自然条件、农民种植习惯及农业产业结构调整方向，种植农作物为冬小麦-夏玉米轮作和果树种植。整治后，项目区经济效益无变化。</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eastAsia" w:ascii="仿宋_GB2312" w:eastAsia="仿宋_GB2312"/>
          <w:sz w:val="28"/>
          <w:szCs w:val="28"/>
          <w:lang w:eastAsia="zh-CN"/>
        </w:rPr>
      </w:pPr>
      <w:r>
        <w:rPr>
          <w:rFonts w:hint="eastAsia" w:ascii="仿宋_GB2312" w:eastAsia="仿宋_GB2312"/>
          <w:sz w:val="28"/>
          <w:szCs w:val="28"/>
        </w:rPr>
        <w:t>2、项目实施的社会效益分析</w:t>
      </w:r>
      <w:r>
        <w:rPr>
          <w:rFonts w:hint="eastAsia" w:ascii="仿宋_GB2312" w:eastAsia="仿宋_GB2312"/>
          <w:sz w:val="28"/>
          <w:szCs w:val="28"/>
          <w:lang w:eastAsia="zh-CN"/>
        </w:rPr>
        <w:t>：高标准基本农田建设项目旨在严格耕地保护，提高耕地质量，促进节约集约用地，改善农业生产条件，增强农业综合生产能力，推动农业现代化和城乡统筹发展。项目竣工后，项目区内基础设施得到完善，对于保护耕地、保障国家粮食安全、统筹城乡发展和促进新农村建设，具有十分重要的意义。通过对田间道路（机耕路）进行硬化路面，改善了项目区的道路平整度，避免了雨季道路的泥泞坑洼，改善了农业生产条件，进一步满足了农业物资运输、农业耕作，便于农业机械化和生产生活。</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eastAsia" w:ascii="仿宋_GB2312" w:eastAsia="仿宋_GB2312"/>
          <w:sz w:val="28"/>
          <w:szCs w:val="28"/>
          <w:lang w:eastAsia="zh-CN"/>
        </w:rPr>
      </w:pPr>
      <w:r>
        <w:rPr>
          <w:rFonts w:hint="eastAsia" w:ascii="仿宋_GB2312" w:eastAsia="仿宋_GB2312"/>
          <w:sz w:val="28"/>
          <w:szCs w:val="28"/>
        </w:rPr>
        <w:t>3、项目实施的生态效益分析</w:t>
      </w:r>
      <w:r>
        <w:rPr>
          <w:rFonts w:hint="eastAsia" w:ascii="仿宋_GB2312" w:eastAsia="仿宋_GB2312"/>
          <w:sz w:val="28"/>
          <w:szCs w:val="28"/>
          <w:lang w:eastAsia="zh-CN"/>
        </w:rPr>
        <w:t>：通过项目建设，完善了田间基础设施，提高了土地利用效率，将项目区提升为高产稳产农田。极大地改善了区内自然环境和生产环境，使农业生态进入良性循环状态。</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default" w:ascii="仿宋_GB2312" w:eastAsia="仿宋_GB2312"/>
          <w:sz w:val="28"/>
          <w:szCs w:val="28"/>
          <w:lang w:val="en-US" w:eastAsia="zh-CN"/>
        </w:rPr>
      </w:pPr>
      <w:r>
        <w:rPr>
          <w:rFonts w:hint="eastAsia" w:ascii="仿宋_GB2312" w:eastAsia="仿宋_GB2312"/>
          <w:sz w:val="28"/>
          <w:szCs w:val="28"/>
        </w:rPr>
        <w:t>4、项目实施的可持续性影响分析</w:t>
      </w:r>
      <w:r>
        <w:rPr>
          <w:rFonts w:hint="eastAsia" w:ascii="仿宋_GB2312" w:eastAsia="仿宋_GB2312"/>
          <w:sz w:val="28"/>
          <w:szCs w:val="28"/>
          <w:lang w:eastAsia="zh-CN"/>
        </w:rPr>
        <w:t>：</w:t>
      </w:r>
      <w:r>
        <w:rPr>
          <w:rFonts w:hint="eastAsia" w:ascii="仿宋_GB2312" w:eastAsia="仿宋_GB2312"/>
          <w:sz w:val="28"/>
          <w:szCs w:val="28"/>
          <w:lang w:val="en-US" w:eastAsia="zh-CN"/>
        </w:rPr>
        <w:t>工程质量寿命≥10年，田间工程使用年限≥10年。</w:t>
      </w:r>
    </w:p>
    <w:p>
      <w:pPr>
        <w:keepNext w:val="0"/>
        <w:keepLines w:val="0"/>
        <w:pageBreakBefore w:val="0"/>
        <w:widowControl w:val="0"/>
        <w:kinsoku/>
        <w:wordWrap/>
        <w:overflowPunct/>
        <w:topLinePunct w:val="0"/>
        <w:autoSpaceDE/>
        <w:autoSpaceDN/>
        <w:bidi w:val="0"/>
        <w:spacing w:line="560" w:lineRule="exact"/>
        <w:textAlignment w:val="auto"/>
        <w:rPr>
          <w:rFonts w:hint="eastAsia" w:ascii="黑体" w:hAnsi="黑体" w:eastAsia="黑体"/>
          <w:sz w:val="28"/>
          <w:szCs w:val="28"/>
        </w:rPr>
      </w:pPr>
      <w:r>
        <w:rPr>
          <w:rFonts w:hint="eastAsia" w:ascii="黑体" w:hAnsi="黑体" w:eastAsia="黑体"/>
          <w:sz w:val="28"/>
          <w:szCs w:val="28"/>
          <w:lang w:val="en-US" w:eastAsia="zh-CN"/>
        </w:rPr>
        <w:t>三</w:t>
      </w:r>
      <w:r>
        <w:rPr>
          <w:rFonts w:hint="eastAsia" w:ascii="黑体" w:hAnsi="黑体" w:eastAsia="黑体"/>
          <w:sz w:val="28"/>
          <w:szCs w:val="28"/>
        </w:rPr>
        <w:t>、满意度指标完成情况分析</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default" w:ascii="仿宋_GB2312" w:eastAsia="仿宋_GB2312"/>
          <w:sz w:val="28"/>
          <w:szCs w:val="28"/>
          <w:lang w:val="en-US" w:eastAsia="zh-CN"/>
        </w:rPr>
      </w:pPr>
      <w:r>
        <w:rPr>
          <w:rFonts w:hint="eastAsia" w:ascii="仿宋_GB2312" w:eastAsia="仿宋_GB2312"/>
          <w:sz w:val="28"/>
          <w:szCs w:val="28"/>
          <w:lang w:val="en-US" w:eastAsia="zh-CN"/>
        </w:rPr>
        <w:t>受益群众满意度100%，受益乡镇、村满意度100%。</w:t>
      </w:r>
    </w:p>
    <w:p>
      <w:pPr>
        <w:keepNext w:val="0"/>
        <w:keepLines w:val="0"/>
        <w:pageBreakBefore w:val="0"/>
        <w:widowControl w:val="0"/>
        <w:kinsoku/>
        <w:wordWrap/>
        <w:overflowPunct/>
        <w:topLinePunct w:val="0"/>
        <w:autoSpaceDE/>
        <w:autoSpaceDN/>
        <w:bidi w:val="0"/>
        <w:spacing w:line="560" w:lineRule="exact"/>
        <w:textAlignment w:val="auto"/>
        <w:rPr>
          <w:rFonts w:hint="eastAsia" w:ascii="黑体" w:hAnsi="黑体" w:eastAsia="黑体"/>
          <w:sz w:val="28"/>
          <w:szCs w:val="28"/>
        </w:rPr>
      </w:pPr>
      <w:r>
        <w:rPr>
          <w:rFonts w:hint="eastAsia" w:ascii="黑体" w:hAnsi="黑体" w:eastAsia="黑体"/>
          <w:sz w:val="28"/>
          <w:szCs w:val="28"/>
          <w:lang w:val="en-US" w:eastAsia="zh-CN"/>
        </w:rPr>
        <w:t>四、</w:t>
      </w:r>
      <w:r>
        <w:rPr>
          <w:rFonts w:hint="eastAsia" w:ascii="黑体" w:hAnsi="黑体" w:eastAsia="黑体"/>
          <w:sz w:val="28"/>
          <w:szCs w:val="28"/>
        </w:rPr>
        <w:t>项目综合评价结论和评价等级</w:t>
      </w:r>
    </w:p>
    <w:p>
      <w:pPr>
        <w:keepNext w:val="0"/>
        <w:keepLines w:val="0"/>
        <w:pageBreakBefore w:val="0"/>
        <w:widowControl w:val="0"/>
        <w:kinsoku/>
        <w:wordWrap/>
        <w:overflowPunct/>
        <w:topLinePunct w:val="0"/>
        <w:autoSpaceDE/>
        <w:autoSpaceDN/>
        <w:bidi w:val="0"/>
        <w:spacing w:line="560" w:lineRule="exact"/>
        <w:ind w:firstLine="560" w:firstLineChars="200"/>
        <w:textAlignment w:val="auto"/>
        <w:rPr>
          <w:rFonts w:hint="eastAsia" w:ascii="仿宋" w:hAnsi="仿宋" w:eastAsia="仿宋"/>
          <w:sz w:val="28"/>
          <w:szCs w:val="28"/>
        </w:rPr>
      </w:pPr>
      <w:r>
        <w:rPr>
          <w:rFonts w:hint="eastAsia" w:ascii="仿宋" w:hAnsi="仿宋" w:eastAsia="仿宋"/>
          <w:sz w:val="28"/>
          <w:szCs w:val="28"/>
        </w:rPr>
        <w:t>预算编制阶段得分15分、资金按合同约定支付30%得10分、项目管理得15分、资金使用得10分、会计管理得10分。共计得分</w:t>
      </w:r>
      <w:r>
        <w:rPr>
          <w:rFonts w:hint="eastAsia" w:ascii="仿宋" w:hAnsi="仿宋" w:eastAsia="仿宋"/>
          <w:sz w:val="28"/>
          <w:szCs w:val="28"/>
          <w:lang w:val="en-US" w:eastAsia="zh-CN"/>
        </w:rPr>
        <w:t>100</w:t>
      </w:r>
      <w:r>
        <w:rPr>
          <w:rFonts w:hint="eastAsia" w:ascii="仿宋" w:hAnsi="仿宋" w:eastAsia="仿宋"/>
          <w:sz w:val="28"/>
          <w:szCs w:val="28"/>
        </w:rPr>
        <w:t>分。</w:t>
      </w:r>
      <w:bookmarkStart w:id="0" w:name="_GoBack"/>
      <w:bookmarkEnd w:id="0"/>
    </w:p>
    <w:p>
      <w:pPr>
        <w:keepNext w:val="0"/>
        <w:keepLines w:val="0"/>
        <w:pageBreakBefore w:val="0"/>
        <w:widowControl w:val="0"/>
        <w:kinsoku/>
        <w:wordWrap/>
        <w:overflowPunct/>
        <w:topLinePunct w:val="0"/>
        <w:autoSpaceDE/>
        <w:autoSpaceDN/>
        <w:bidi w:val="0"/>
        <w:spacing w:line="560" w:lineRule="exact"/>
        <w:textAlignment w:val="auto"/>
        <w:rPr>
          <w:sz w:val="28"/>
          <w:szCs w:val="28"/>
        </w:rPr>
      </w:pPr>
    </w:p>
    <w:sectPr>
      <w:pgSz w:w="11906" w:h="16838"/>
      <w:pgMar w:top="1134" w:right="1134" w:bottom="1134"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997699"/>
    <w:multiLevelType w:val="singleLevel"/>
    <w:tmpl w:val="8E997699"/>
    <w:lvl w:ilvl="0" w:tentative="0">
      <w:start w:val="2"/>
      <w:numFmt w:val="decimal"/>
      <w:suff w:val="nothing"/>
      <w:lvlText w:val="（%1）"/>
      <w:lvlJc w:val="left"/>
    </w:lvl>
  </w:abstractNum>
  <w:abstractNum w:abstractNumId="1">
    <w:nsid w:val="3FBB7434"/>
    <w:multiLevelType w:val="singleLevel"/>
    <w:tmpl w:val="3FBB7434"/>
    <w:lvl w:ilvl="0" w:tentative="0">
      <w:start w:val="2"/>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1D1046E"/>
    <w:rsid w:val="250101B9"/>
    <w:rsid w:val="3E2907BA"/>
    <w:rsid w:val="50E65CDB"/>
    <w:rsid w:val="5184006B"/>
    <w:rsid w:val="525F2183"/>
    <w:rsid w:val="56330960"/>
    <w:rsid w:val="73A715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lenovo</cp:lastModifiedBy>
  <cp:lastPrinted>2020-04-23T08:09:00Z</cp:lastPrinted>
  <dcterms:modified xsi:type="dcterms:W3CDTF">2020-05-26T03:51:13Z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