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 w:hAnsi="仿宋" w:eastAsia="仿宋" w:cs="仿宋"/>
          <w:sz w:val="32"/>
          <w:szCs w:val="32"/>
        </w:rPr>
      </w:pPr>
      <w:r>
        <w:rPr>
          <w:rFonts w:hint="eastAsia" w:ascii="仿宋" w:hAnsi="仿宋" w:eastAsia="仿宋" w:cs="仿宋"/>
          <w:sz w:val="32"/>
          <w:szCs w:val="32"/>
        </w:rPr>
        <w:t>附件2</w:t>
      </w:r>
    </w:p>
    <w:p>
      <w:pPr>
        <w:spacing w:line="360" w:lineRule="auto"/>
        <w:jc w:val="center"/>
        <w:rPr>
          <w:rFonts w:hint="eastAsia" w:ascii="仿宋" w:hAnsi="仿宋" w:eastAsia="仿宋" w:cs="仿宋"/>
          <w:sz w:val="32"/>
          <w:szCs w:val="32"/>
        </w:rPr>
      </w:pPr>
      <w:r>
        <w:rPr>
          <w:rFonts w:hint="eastAsia" w:ascii="仿宋" w:hAnsi="仿宋" w:eastAsia="仿宋" w:cs="仿宋"/>
          <w:sz w:val="32"/>
          <w:szCs w:val="32"/>
          <w:lang w:eastAsia="zh-CN"/>
        </w:rPr>
        <w:t>南孟镇政府食品安全、土地、环保执法、信访维稳、税收等工作经费</w:t>
      </w:r>
      <w:bookmarkStart w:id="0" w:name="_GoBack"/>
      <w:bookmarkEnd w:id="0"/>
      <w:r>
        <w:rPr>
          <w:rFonts w:hint="eastAsia" w:ascii="仿宋" w:hAnsi="仿宋" w:eastAsia="仿宋" w:cs="仿宋"/>
          <w:sz w:val="32"/>
          <w:szCs w:val="32"/>
        </w:rPr>
        <w:t>项目</w:t>
      </w:r>
    </w:p>
    <w:p>
      <w:pPr>
        <w:spacing w:line="360" w:lineRule="auto"/>
        <w:jc w:val="center"/>
        <w:rPr>
          <w:rFonts w:hint="eastAsia" w:ascii="仿宋" w:hAnsi="仿宋" w:eastAsia="仿宋" w:cs="仿宋"/>
          <w:sz w:val="32"/>
          <w:szCs w:val="32"/>
        </w:rPr>
      </w:pPr>
      <w:r>
        <w:rPr>
          <w:rFonts w:hint="eastAsia" w:ascii="仿宋" w:hAnsi="仿宋" w:eastAsia="仿宋" w:cs="仿宋"/>
          <w:sz w:val="32"/>
          <w:szCs w:val="32"/>
          <w:lang w:val="en-US" w:eastAsia="zh-CN"/>
        </w:rPr>
        <w:t>2018</w:t>
      </w:r>
      <w:r>
        <w:rPr>
          <w:rFonts w:hint="eastAsia" w:ascii="仿宋" w:hAnsi="仿宋" w:eastAsia="仿宋" w:cs="仿宋"/>
          <w:sz w:val="32"/>
          <w:szCs w:val="32"/>
        </w:rPr>
        <w:t>年度绩效自评报告</w:t>
      </w:r>
    </w:p>
    <w:p>
      <w:pPr>
        <w:spacing w:line="360" w:lineRule="auto"/>
        <w:jc w:val="center"/>
        <w:rPr>
          <w:rFonts w:hint="eastAsia" w:ascii="仿宋" w:hAnsi="仿宋" w:eastAsia="仿宋" w:cs="仿宋"/>
          <w:sz w:val="32"/>
          <w:szCs w:val="32"/>
        </w:rPr>
      </w:pPr>
    </w:p>
    <w:p>
      <w:p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根据《藁城区财政局关于开展财政专项资金部门绩效自评价及财政重点绩效评价的工作方案》（藁财【2019】</w:t>
      </w:r>
      <w:r>
        <w:rPr>
          <w:rFonts w:hint="eastAsia" w:ascii="仿宋" w:hAnsi="仿宋" w:eastAsia="仿宋" w:cs="仿宋"/>
          <w:sz w:val="32"/>
          <w:szCs w:val="32"/>
          <w:lang w:val="en-US" w:eastAsia="zh-CN"/>
        </w:rPr>
        <w:t>19</w:t>
      </w:r>
      <w:r>
        <w:rPr>
          <w:rFonts w:hint="eastAsia" w:ascii="仿宋" w:hAnsi="仿宋" w:eastAsia="仿宋" w:cs="仿宋"/>
          <w:sz w:val="32"/>
          <w:szCs w:val="32"/>
        </w:rPr>
        <w:t xml:space="preserve"> 号），遵循“科学性、规范性、客观性和公正性”的原则，对</w:t>
      </w:r>
      <w:r>
        <w:rPr>
          <w:rFonts w:hint="eastAsia" w:ascii="仿宋" w:hAnsi="仿宋" w:eastAsia="仿宋" w:cs="仿宋"/>
          <w:sz w:val="32"/>
          <w:szCs w:val="32"/>
          <w:lang w:eastAsia="zh-CN"/>
        </w:rPr>
        <w:t>村级补助</w:t>
      </w:r>
      <w:r>
        <w:rPr>
          <w:rFonts w:hint="eastAsia" w:ascii="仿宋" w:hAnsi="仿宋" w:eastAsia="仿宋" w:cs="仿宋"/>
          <w:sz w:val="32"/>
          <w:szCs w:val="32"/>
        </w:rPr>
        <w:t>项目实施了绩效评价，形成本评价报告。</w:t>
      </w:r>
    </w:p>
    <w:p>
      <w:pPr>
        <w:adjustRightInd w:val="0"/>
        <w:snapToGrid w:val="0"/>
        <w:spacing w:line="360" w:lineRule="auto"/>
        <w:rPr>
          <w:rFonts w:hint="eastAsia" w:ascii="仿宋" w:hAnsi="仿宋" w:eastAsia="仿宋" w:cs="仿宋"/>
          <w:b/>
          <w:bCs/>
          <w:sz w:val="32"/>
          <w:szCs w:val="32"/>
        </w:rPr>
      </w:pPr>
      <w:r>
        <w:rPr>
          <w:rFonts w:hint="eastAsia" w:ascii="仿宋" w:hAnsi="仿宋" w:eastAsia="仿宋" w:cs="仿宋"/>
          <w:sz w:val="32"/>
          <w:szCs w:val="32"/>
        </w:rPr>
        <w:t xml:space="preserve">    一、项目基本情况</w:t>
      </w:r>
    </w:p>
    <w:p>
      <w:p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（一）项目概况</w:t>
      </w:r>
    </w:p>
    <w:p>
      <w:p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 1.项目实施单位及项目立项等基本情况；</w:t>
      </w:r>
    </w:p>
    <w:p>
      <w:p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为</w:t>
      </w:r>
      <w:r>
        <w:rPr>
          <w:rFonts w:hint="eastAsia" w:ascii="仿宋" w:hAnsi="仿宋" w:eastAsia="仿宋" w:cs="仿宋"/>
          <w:sz w:val="32"/>
          <w:szCs w:val="32"/>
        </w:rPr>
        <w:t>保障民生稳步推进，社会事业蓬勃发展</w:t>
      </w:r>
      <w:r>
        <w:rPr>
          <w:rFonts w:hint="eastAsia" w:ascii="仿宋" w:hAnsi="仿宋" w:eastAsia="仿宋" w:cs="仿宋"/>
          <w:sz w:val="32"/>
          <w:szCs w:val="32"/>
          <w:lang w:eastAsia="zh-CN"/>
        </w:rPr>
        <w:t>，增强人民幸福感。</w:t>
      </w:r>
      <w:r>
        <w:rPr>
          <w:rFonts w:hint="eastAsia" w:ascii="仿宋" w:hAnsi="仿宋" w:eastAsia="仿宋" w:cs="仿宋"/>
          <w:sz w:val="32"/>
          <w:szCs w:val="32"/>
        </w:rPr>
        <w:t>根据年度工作计划，统筹安排</w:t>
      </w:r>
      <w:r>
        <w:rPr>
          <w:rFonts w:hint="eastAsia" w:ascii="仿宋" w:hAnsi="仿宋" w:eastAsia="仿宋" w:cs="仿宋"/>
          <w:sz w:val="32"/>
          <w:szCs w:val="32"/>
          <w:lang w:eastAsia="zh-CN"/>
        </w:rPr>
        <w:t>综合</w:t>
      </w:r>
      <w:r>
        <w:rPr>
          <w:rFonts w:hint="eastAsia" w:ascii="仿宋" w:hAnsi="仿宋" w:eastAsia="仿宋" w:cs="仿宋"/>
          <w:sz w:val="32"/>
          <w:szCs w:val="32"/>
        </w:rPr>
        <w:t>工作经费，确保工作顺利开展。</w:t>
      </w:r>
    </w:p>
    <w:p>
      <w:pPr>
        <w:numPr>
          <w:ilvl w:val="0"/>
          <w:numId w:val="1"/>
        </w:numPr>
        <w:adjustRightInd w:val="0"/>
        <w:snapToGrid w:val="0"/>
        <w:spacing w:line="360" w:lineRule="auto"/>
        <w:ind w:left="800" w:leftChars="0" w:firstLine="0" w:firstLineChars="0"/>
        <w:rPr>
          <w:rFonts w:hint="eastAsia" w:ascii="仿宋" w:hAnsi="仿宋" w:eastAsia="仿宋" w:cs="仿宋"/>
          <w:sz w:val="32"/>
          <w:szCs w:val="32"/>
        </w:rPr>
      </w:pPr>
      <w:r>
        <w:rPr>
          <w:rFonts w:hint="eastAsia" w:ascii="仿宋" w:hAnsi="仿宋" w:eastAsia="仿宋" w:cs="仿宋"/>
          <w:sz w:val="32"/>
          <w:szCs w:val="32"/>
        </w:rPr>
        <w:t>项目主要实施内容和范围；</w:t>
      </w:r>
    </w:p>
    <w:p>
      <w:p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此项目为南孟镇</w:t>
      </w:r>
      <w:r>
        <w:rPr>
          <w:rFonts w:hint="eastAsia" w:ascii="仿宋" w:hAnsi="仿宋" w:eastAsia="仿宋" w:cs="仿宋"/>
          <w:sz w:val="32"/>
          <w:szCs w:val="32"/>
        </w:rPr>
        <w:t>日常工作开展所需经费，</w:t>
      </w:r>
      <w:r>
        <w:rPr>
          <w:rFonts w:hint="eastAsia" w:ascii="仿宋" w:hAnsi="仿宋" w:eastAsia="仿宋" w:cs="仿宋"/>
          <w:sz w:val="32"/>
          <w:szCs w:val="32"/>
          <w:lang w:eastAsia="zh-CN"/>
        </w:rPr>
        <w:t>可广泛用于增村镇信访、环保、土地、宣传、党建、法律服务、租赁劳务等日常工作活动，</w:t>
      </w:r>
      <w:r>
        <w:rPr>
          <w:rFonts w:hint="eastAsia" w:ascii="仿宋" w:hAnsi="仿宋" w:eastAsia="仿宋" w:cs="仿宋"/>
          <w:sz w:val="32"/>
          <w:szCs w:val="32"/>
        </w:rPr>
        <w:t>确保更好的</w:t>
      </w:r>
      <w:r>
        <w:rPr>
          <w:rFonts w:hint="eastAsia" w:ascii="仿宋" w:hAnsi="仿宋" w:eastAsia="仿宋" w:cs="仿宋"/>
          <w:sz w:val="32"/>
          <w:szCs w:val="32"/>
          <w:lang w:eastAsia="zh-CN"/>
        </w:rPr>
        <w:t>保障日常工作、保障民生、</w:t>
      </w:r>
      <w:r>
        <w:rPr>
          <w:rFonts w:hint="eastAsia" w:ascii="仿宋" w:hAnsi="仿宋" w:eastAsia="仿宋" w:cs="仿宋"/>
          <w:sz w:val="32"/>
          <w:szCs w:val="32"/>
        </w:rPr>
        <w:t>服务群众</w:t>
      </w:r>
      <w:r>
        <w:rPr>
          <w:rFonts w:hint="eastAsia" w:ascii="仿宋" w:hAnsi="仿宋" w:eastAsia="仿宋" w:cs="仿宋"/>
          <w:sz w:val="32"/>
          <w:szCs w:val="32"/>
          <w:lang w:eastAsia="zh-CN"/>
        </w:rPr>
        <w:t>。</w:t>
      </w:r>
    </w:p>
    <w:p>
      <w:pPr>
        <w:numPr>
          <w:ilvl w:val="0"/>
          <w:numId w:val="1"/>
        </w:numPr>
        <w:adjustRightInd w:val="0"/>
        <w:snapToGrid w:val="0"/>
        <w:spacing w:line="360" w:lineRule="auto"/>
        <w:ind w:left="800" w:leftChars="0" w:firstLine="0" w:firstLineChars="0"/>
        <w:rPr>
          <w:rFonts w:hint="eastAsia" w:ascii="仿宋" w:hAnsi="仿宋" w:eastAsia="仿宋" w:cs="仿宋"/>
          <w:sz w:val="32"/>
          <w:szCs w:val="32"/>
        </w:rPr>
      </w:pPr>
      <w:r>
        <w:rPr>
          <w:rFonts w:hint="eastAsia" w:ascii="仿宋" w:hAnsi="仿宋" w:eastAsia="仿宋" w:cs="仿宋"/>
          <w:sz w:val="32"/>
          <w:szCs w:val="32"/>
        </w:rPr>
        <w:t>项目资金投入情况</w:t>
      </w:r>
    </w:p>
    <w:p>
      <w:pPr>
        <w:numPr>
          <w:ilvl w:val="0"/>
          <w:numId w:val="0"/>
        </w:numPr>
        <w:adjustRightInd w:val="0"/>
        <w:snapToGrid w:val="0"/>
        <w:spacing w:line="360" w:lineRule="auto"/>
        <w:ind w:left="800" w:leftChars="0"/>
        <w:rPr>
          <w:rFonts w:hint="eastAsia" w:ascii="仿宋" w:hAnsi="仿宋" w:eastAsia="仿宋" w:cs="仿宋"/>
          <w:sz w:val="32"/>
          <w:szCs w:val="32"/>
          <w:lang w:val="en-US" w:eastAsia="zh-CN"/>
        </w:rPr>
      </w:pPr>
      <w:r>
        <w:rPr>
          <w:rFonts w:hint="eastAsia" w:ascii="仿宋" w:hAnsi="仿宋" w:eastAsia="仿宋" w:cs="仿宋"/>
          <w:sz w:val="32"/>
          <w:szCs w:val="32"/>
          <w:lang w:eastAsia="zh-CN"/>
        </w:rPr>
        <w:t>项目总投资</w:t>
      </w:r>
      <w:r>
        <w:rPr>
          <w:rFonts w:hint="eastAsia" w:ascii="仿宋" w:hAnsi="仿宋" w:eastAsia="仿宋" w:cs="仿宋"/>
          <w:sz w:val="32"/>
          <w:szCs w:val="32"/>
          <w:lang w:val="en-US" w:eastAsia="zh-CN"/>
        </w:rPr>
        <w:t>45.84万元，均为区级财政拨款</w:t>
      </w:r>
    </w:p>
    <w:p>
      <w:pPr>
        <w:adjustRightInd w:val="0"/>
        <w:snapToGrid w:val="0"/>
        <w:spacing w:line="360" w:lineRule="auto"/>
        <w:ind w:firstLine="800" w:firstLineChars="250"/>
        <w:rPr>
          <w:rFonts w:hint="eastAsia" w:ascii="仿宋" w:hAnsi="仿宋" w:eastAsia="仿宋" w:cs="仿宋"/>
          <w:sz w:val="32"/>
          <w:szCs w:val="32"/>
        </w:rPr>
      </w:pPr>
      <w:r>
        <w:rPr>
          <w:rFonts w:hint="eastAsia" w:ascii="仿宋" w:hAnsi="仿宋" w:eastAsia="仿宋" w:cs="仿宋"/>
          <w:sz w:val="32"/>
          <w:szCs w:val="32"/>
        </w:rPr>
        <w:t>4.项目实施过程</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（1）业务管理情况分析。</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健全管理机制，明确分工，严格控制该项资金流出方向，做好资金管理，确保资金专款专用。</w:t>
      </w:r>
      <w:r>
        <w:rPr>
          <w:rFonts w:hint="eastAsia" w:ascii="仿宋" w:hAnsi="仿宋" w:eastAsia="仿宋" w:cs="仿宋"/>
          <w:sz w:val="32"/>
          <w:szCs w:val="32"/>
        </w:rPr>
        <w:t>根据指标体系评分标准计算分值</w:t>
      </w:r>
      <w:r>
        <w:rPr>
          <w:rFonts w:hint="eastAsia" w:ascii="仿宋" w:hAnsi="仿宋" w:eastAsia="仿宋" w:cs="仿宋"/>
          <w:sz w:val="32"/>
          <w:szCs w:val="32"/>
          <w:lang w:eastAsia="zh-CN"/>
        </w:rPr>
        <w:t>为</w:t>
      </w:r>
      <w:r>
        <w:rPr>
          <w:rFonts w:hint="eastAsia" w:ascii="仿宋" w:hAnsi="仿宋" w:eastAsia="仿宋" w:cs="仿宋"/>
          <w:sz w:val="32"/>
          <w:szCs w:val="32"/>
          <w:lang w:val="en-US" w:eastAsia="zh-CN"/>
        </w:rPr>
        <w:t>10分</w:t>
      </w:r>
      <w:r>
        <w:rPr>
          <w:rFonts w:hint="eastAsia" w:ascii="仿宋" w:hAnsi="仿宋" w:eastAsia="仿宋" w:cs="仿宋"/>
          <w:sz w:val="32"/>
          <w:szCs w:val="32"/>
        </w:rPr>
        <w:t>。</w:t>
      </w:r>
    </w:p>
    <w:p>
      <w:pPr>
        <w:numPr>
          <w:ilvl w:val="0"/>
          <w:numId w:val="2"/>
        </w:numPr>
        <w:ind w:firstLine="640" w:firstLineChars="200"/>
        <w:rPr>
          <w:rFonts w:hint="eastAsia" w:ascii="仿宋" w:hAnsi="仿宋" w:eastAsia="仿宋" w:cs="仿宋"/>
          <w:sz w:val="32"/>
          <w:szCs w:val="32"/>
        </w:rPr>
      </w:pPr>
      <w:r>
        <w:rPr>
          <w:rFonts w:hint="eastAsia" w:ascii="仿宋" w:hAnsi="仿宋" w:eastAsia="仿宋" w:cs="仿宋"/>
          <w:sz w:val="32"/>
          <w:szCs w:val="32"/>
        </w:rPr>
        <w:t>财务管理。</w:t>
      </w:r>
    </w:p>
    <w:p>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rPr>
        <w:t>对管理制度健全性、资金使用合规性和财务监控有效性等情况进行分析后，根据指标体系评分标准计算分值</w:t>
      </w:r>
      <w:r>
        <w:rPr>
          <w:rFonts w:hint="eastAsia" w:ascii="仿宋" w:hAnsi="仿宋" w:eastAsia="仿宋" w:cs="仿宋"/>
          <w:sz w:val="32"/>
          <w:szCs w:val="32"/>
          <w:lang w:eastAsia="zh-CN"/>
        </w:rPr>
        <w:t>为</w:t>
      </w:r>
      <w:r>
        <w:rPr>
          <w:rFonts w:hint="eastAsia" w:ascii="仿宋" w:hAnsi="仿宋" w:eastAsia="仿宋" w:cs="仿宋"/>
          <w:sz w:val="32"/>
          <w:szCs w:val="32"/>
          <w:lang w:val="en-US" w:eastAsia="zh-CN"/>
        </w:rPr>
        <w:t>10分</w:t>
      </w:r>
      <w:r>
        <w:rPr>
          <w:rFonts w:hint="eastAsia" w:ascii="仿宋" w:hAnsi="仿宋" w:eastAsia="仿宋" w:cs="仿宋"/>
          <w:sz w:val="32"/>
          <w:szCs w:val="32"/>
        </w:rPr>
        <w:t>。</w:t>
      </w:r>
    </w:p>
    <w:p>
      <w:pPr>
        <w:adjustRightInd w:val="0"/>
        <w:snapToGrid w:val="0"/>
        <w:spacing w:line="360" w:lineRule="auto"/>
        <w:ind w:firstLine="640" w:firstLineChars="200"/>
        <w:rPr>
          <w:rFonts w:hint="eastAsia" w:ascii="仿宋" w:hAnsi="仿宋" w:eastAsia="仿宋" w:cs="仿宋"/>
          <w:b/>
          <w:bCs/>
          <w:sz w:val="32"/>
          <w:szCs w:val="32"/>
        </w:rPr>
      </w:pPr>
      <w:r>
        <w:rPr>
          <w:rFonts w:hint="eastAsia" w:ascii="仿宋" w:hAnsi="仿宋" w:eastAsia="仿宋" w:cs="仿宋"/>
          <w:sz w:val="32"/>
          <w:szCs w:val="32"/>
        </w:rPr>
        <w:t>（二）项目预期绩效目标</w:t>
      </w:r>
    </w:p>
    <w:p>
      <w:p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项目预期绩效总目标</w:t>
      </w:r>
      <w:r>
        <w:rPr>
          <w:rFonts w:hint="eastAsia" w:ascii="仿宋" w:hAnsi="仿宋" w:eastAsia="仿宋" w:cs="仿宋"/>
          <w:sz w:val="32"/>
          <w:szCs w:val="32"/>
          <w:lang w:eastAsia="zh-CN"/>
        </w:rPr>
        <w:t>为保证全年专项资金全部用于南孟镇日常经费支出并严格遵守财务制度规范，保证南孟镇政府运行，做好政务工作、党建工作、保障民生、服务群众。</w:t>
      </w:r>
    </w:p>
    <w:p>
      <w:pPr>
        <w:ind w:firstLine="660"/>
        <w:rPr>
          <w:rFonts w:hint="eastAsia" w:ascii="仿宋" w:hAnsi="仿宋" w:eastAsia="仿宋" w:cs="仿宋"/>
          <w:sz w:val="32"/>
          <w:szCs w:val="32"/>
        </w:rPr>
      </w:pPr>
      <w:r>
        <w:rPr>
          <w:rFonts w:hint="eastAsia" w:ascii="仿宋" w:hAnsi="仿宋" w:eastAsia="仿宋" w:cs="仿宋"/>
          <w:sz w:val="32"/>
          <w:szCs w:val="32"/>
        </w:rPr>
        <w:t>二、绩效评价工作情况</w:t>
      </w:r>
    </w:p>
    <w:p>
      <w:pPr>
        <w:ind w:firstLine="633" w:firstLineChars="198"/>
        <w:rPr>
          <w:rFonts w:hint="eastAsia" w:ascii="仿宋" w:hAnsi="仿宋" w:eastAsia="仿宋" w:cs="仿宋"/>
          <w:sz w:val="32"/>
          <w:szCs w:val="32"/>
        </w:rPr>
      </w:pPr>
      <w:r>
        <w:rPr>
          <w:rFonts w:hint="eastAsia" w:ascii="仿宋" w:hAnsi="仿宋" w:eastAsia="仿宋" w:cs="仿宋"/>
          <w:sz w:val="32"/>
          <w:szCs w:val="32"/>
        </w:rPr>
        <w:t>（一）绩效评价工作情况</w:t>
      </w:r>
    </w:p>
    <w:p>
      <w:pPr>
        <w:ind w:firstLine="633" w:firstLineChars="198"/>
        <w:rPr>
          <w:rFonts w:hint="eastAsia" w:ascii="仿宋" w:hAnsi="仿宋" w:eastAsia="仿宋" w:cs="仿宋"/>
          <w:sz w:val="32"/>
          <w:szCs w:val="32"/>
          <w:lang w:eastAsia="zh-CN"/>
        </w:rPr>
      </w:pPr>
      <w:r>
        <w:rPr>
          <w:rFonts w:hint="eastAsia" w:ascii="仿宋" w:hAnsi="仿宋" w:eastAsia="仿宋" w:cs="仿宋"/>
          <w:sz w:val="32"/>
          <w:szCs w:val="32"/>
          <w:lang w:eastAsia="zh-CN"/>
        </w:rPr>
        <w:t>通过对本项目全年支出情况、社会影响力及群众满意度按照规定的评价程序和方法进行核实评价</w:t>
      </w:r>
    </w:p>
    <w:p>
      <w:pPr>
        <w:numPr>
          <w:ilvl w:val="0"/>
          <w:numId w:val="3"/>
        </w:numPr>
        <w:ind w:firstLine="633" w:firstLineChars="198"/>
        <w:rPr>
          <w:rFonts w:hint="eastAsia" w:ascii="仿宋" w:hAnsi="仿宋" w:eastAsia="仿宋" w:cs="仿宋"/>
          <w:sz w:val="32"/>
          <w:szCs w:val="32"/>
        </w:rPr>
      </w:pPr>
      <w:r>
        <w:rPr>
          <w:rFonts w:hint="eastAsia" w:ascii="仿宋" w:hAnsi="仿宋" w:eastAsia="仿宋" w:cs="仿宋"/>
          <w:sz w:val="32"/>
          <w:szCs w:val="32"/>
        </w:rPr>
        <w:t>绩效评价的方法和过程</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收集相关资料数据进行核实查看，并对项目进行走访调查，现场查看，了解社会影响及群众满意度。</w:t>
      </w:r>
    </w:p>
    <w:p>
      <w:pPr>
        <w:numPr>
          <w:ilvl w:val="0"/>
          <w:numId w:val="3"/>
        </w:numPr>
        <w:ind w:left="0" w:leftChars="0" w:firstLine="633" w:firstLineChars="198"/>
        <w:rPr>
          <w:rFonts w:hint="eastAsia" w:ascii="仿宋" w:hAnsi="仿宋" w:eastAsia="仿宋" w:cs="仿宋"/>
          <w:sz w:val="32"/>
          <w:szCs w:val="32"/>
        </w:rPr>
      </w:pPr>
      <w:r>
        <w:rPr>
          <w:rFonts w:hint="eastAsia" w:ascii="仿宋" w:hAnsi="仿宋" w:eastAsia="仿宋" w:cs="仿宋"/>
          <w:sz w:val="32"/>
          <w:szCs w:val="32"/>
        </w:rPr>
        <w:t>建立绩效评价指标体系</w:t>
      </w:r>
    </w:p>
    <w:p>
      <w:pPr>
        <w:numPr>
          <w:ilvl w:val="0"/>
          <w:numId w:val="4"/>
        </w:numPr>
        <w:ind w:left="736" w:leftChars="0" w:firstLine="0" w:firstLine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资金投入时效性（10分）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资金到位率=实际发放资金/应发放资金（5分）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资金及时率=今年实际发放资金/今年应发放资金（5分）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2、项目实施过程</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（1）业务管理情况（10分）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是否已制定或具有相应的业务管理制度（2分）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业务管理制度是否合法合规且完整（2分）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是否遵循相关法律法规和业务管理规定（2分）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业务管理是否到位（2分）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监督监察是否到位（2分）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3、财务管理情况（10分）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是否有相应的项目资金管理办法（2分）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项目资金管理办法是否合法合规（2分）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资金拨付是否有完整的审批手续（2分）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资金拨付是否有完整的支付凭证（2分）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是否具有相应的财务监督管理机制（2分）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4、项目产出情况（30分）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完成及时率（10分）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质量达标率（10分）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支出是否合规合法，不留问题（10分）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5、效益指标情况（20分）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经济效益（5分）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社会效益（5分）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生态效益（5分）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可持续影响（5分）</w:t>
      </w:r>
    </w:p>
    <w:p>
      <w:pPr>
        <w:numPr>
          <w:ilvl w:val="0"/>
          <w:numId w:val="0"/>
        </w:numPr>
        <w:ind w:left="736" w:lef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6、满意度情况（20分）</w:t>
      </w:r>
    </w:p>
    <w:p>
      <w:pPr>
        <w:ind w:firstLine="633" w:firstLineChars="198"/>
        <w:rPr>
          <w:rFonts w:hint="eastAsia" w:ascii="仿宋" w:hAnsi="仿宋" w:eastAsia="仿宋" w:cs="仿宋"/>
          <w:sz w:val="32"/>
          <w:szCs w:val="32"/>
        </w:rPr>
      </w:pPr>
      <w:r>
        <w:rPr>
          <w:rFonts w:hint="eastAsia" w:ascii="仿宋" w:hAnsi="仿宋" w:eastAsia="仿宋" w:cs="仿宋"/>
          <w:sz w:val="32"/>
          <w:szCs w:val="32"/>
        </w:rPr>
        <w:t>三、项目执行及绩效实际情况</w:t>
      </w:r>
    </w:p>
    <w:p>
      <w:pPr>
        <w:ind w:firstLine="633" w:firstLineChars="198"/>
        <w:rPr>
          <w:rFonts w:hint="eastAsia" w:ascii="仿宋" w:hAnsi="仿宋" w:eastAsia="仿宋" w:cs="仿宋"/>
          <w:sz w:val="32"/>
          <w:szCs w:val="32"/>
        </w:rPr>
      </w:pPr>
      <w:r>
        <w:rPr>
          <w:rFonts w:hint="eastAsia" w:ascii="仿宋" w:hAnsi="仿宋" w:eastAsia="仿宋" w:cs="仿宋"/>
          <w:sz w:val="32"/>
          <w:szCs w:val="32"/>
        </w:rPr>
        <w:t>（一）产出指标完成情况分析</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本</w:t>
      </w:r>
      <w:r>
        <w:rPr>
          <w:rFonts w:hint="eastAsia" w:ascii="仿宋" w:hAnsi="仿宋" w:eastAsia="仿宋" w:cs="仿宋"/>
          <w:sz w:val="32"/>
          <w:szCs w:val="32"/>
        </w:rPr>
        <w:t>项目</w:t>
      </w:r>
      <w:r>
        <w:rPr>
          <w:rFonts w:hint="eastAsia" w:ascii="仿宋" w:hAnsi="仿宋" w:eastAsia="仿宋" w:cs="仿宋"/>
          <w:sz w:val="32"/>
          <w:szCs w:val="32"/>
          <w:lang w:eastAsia="zh-CN"/>
        </w:rPr>
        <w:t>已有本年度完成，</w:t>
      </w:r>
      <w:r>
        <w:rPr>
          <w:rFonts w:hint="eastAsia" w:ascii="仿宋" w:hAnsi="仿宋" w:eastAsia="仿宋" w:cs="仿宋"/>
          <w:sz w:val="32"/>
          <w:szCs w:val="32"/>
        </w:rPr>
        <w:t>实际完成率</w:t>
      </w:r>
      <w:r>
        <w:rPr>
          <w:rFonts w:hint="eastAsia" w:ascii="仿宋" w:hAnsi="仿宋" w:eastAsia="仿宋" w:cs="仿宋"/>
          <w:sz w:val="32"/>
          <w:szCs w:val="32"/>
          <w:lang w:eastAsia="zh-CN"/>
        </w:rPr>
        <w:t>为</w:t>
      </w:r>
      <w:r>
        <w:rPr>
          <w:rFonts w:hint="eastAsia" w:ascii="仿宋" w:hAnsi="仿宋" w:eastAsia="仿宋" w:cs="仿宋"/>
          <w:sz w:val="32"/>
          <w:szCs w:val="32"/>
          <w:lang w:val="en-US" w:eastAsia="zh-CN"/>
        </w:rPr>
        <w:t>100%，得分10分，业务管理情况得分为9分，财务管理情况得分为10分。项目产出得分29分。</w:t>
      </w:r>
    </w:p>
    <w:p>
      <w:pPr>
        <w:rPr>
          <w:rFonts w:hint="eastAsia"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（二）效益指标完成情况分析</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根据</w:t>
      </w:r>
      <w:r>
        <w:rPr>
          <w:rFonts w:hint="eastAsia" w:ascii="仿宋" w:hAnsi="仿宋" w:eastAsia="仿宋" w:cs="仿宋"/>
          <w:sz w:val="32"/>
          <w:szCs w:val="32"/>
        </w:rPr>
        <w:t>项目实施的经济效益分析</w:t>
      </w:r>
      <w:r>
        <w:rPr>
          <w:rFonts w:hint="eastAsia" w:ascii="仿宋" w:hAnsi="仿宋" w:eastAsia="仿宋" w:cs="仿宋"/>
          <w:sz w:val="32"/>
          <w:szCs w:val="32"/>
          <w:lang w:eastAsia="zh-CN"/>
        </w:rPr>
        <w:t>、</w:t>
      </w:r>
      <w:r>
        <w:rPr>
          <w:rFonts w:hint="eastAsia" w:ascii="仿宋" w:hAnsi="仿宋" w:eastAsia="仿宋" w:cs="仿宋"/>
          <w:sz w:val="32"/>
          <w:szCs w:val="32"/>
        </w:rPr>
        <w:t>项目实施的社会效益分析</w:t>
      </w:r>
      <w:r>
        <w:rPr>
          <w:rFonts w:hint="eastAsia" w:ascii="仿宋" w:hAnsi="仿宋" w:eastAsia="仿宋" w:cs="仿宋"/>
          <w:sz w:val="32"/>
          <w:szCs w:val="32"/>
          <w:lang w:eastAsia="zh-CN"/>
        </w:rPr>
        <w:t>、</w:t>
      </w:r>
      <w:r>
        <w:rPr>
          <w:rFonts w:hint="eastAsia" w:ascii="仿宋" w:hAnsi="仿宋" w:eastAsia="仿宋" w:cs="仿宋"/>
          <w:sz w:val="32"/>
          <w:szCs w:val="32"/>
        </w:rPr>
        <w:t>项目实施的生态效益分析</w:t>
      </w:r>
      <w:r>
        <w:rPr>
          <w:rFonts w:hint="eastAsia" w:ascii="仿宋" w:hAnsi="仿宋" w:eastAsia="仿宋" w:cs="仿宋"/>
          <w:sz w:val="32"/>
          <w:szCs w:val="32"/>
          <w:lang w:eastAsia="zh-CN"/>
        </w:rPr>
        <w:t>以及</w:t>
      </w:r>
      <w:r>
        <w:rPr>
          <w:rFonts w:hint="eastAsia" w:ascii="仿宋" w:hAnsi="仿宋" w:eastAsia="仿宋" w:cs="仿宋"/>
          <w:sz w:val="32"/>
          <w:szCs w:val="32"/>
        </w:rPr>
        <w:t>项目实施的可持续性影响分析</w:t>
      </w:r>
      <w:r>
        <w:rPr>
          <w:rFonts w:hint="eastAsia" w:ascii="仿宋" w:hAnsi="仿宋" w:eastAsia="仿宋" w:cs="仿宋"/>
          <w:sz w:val="32"/>
          <w:szCs w:val="32"/>
          <w:lang w:eastAsia="zh-CN"/>
        </w:rPr>
        <w:t>，综合得分为</w:t>
      </w:r>
      <w:r>
        <w:rPr>
          <w:rFonts w:hint="eastAsia" w:ascii="仿宋" w:hAnsi="仿宋" w:eastAsia="仿宋" w:cs="仿宋"/>
          <w:sz w:val="32"/>
          <w:szCs w:val="32"/>
          <w:lang w:val="en-US" w:eastAsia="zh-CN"/>
        </w:rPr>
        <w:t>19分</w:t>
      </w:r>
    </w:p>
    <w:p>
      <w:pPr>
        <w:numPr>
          <w:ilvl w:val="0"/>
          <w:numId w:val="0"/>
        </w:numPr>
        <w:ind w:leftChars="198"/>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满意度指标完成情况分析</w:t>
      </w:r>
    </w:p>
    <w:p>
      <w:pPr>
        <w:numPr>
          <w:ilvl w:val="0"/>
          <w:numId w:val="0"/>
        </w:numPr>
        <w:ind w:leftChars="198"/>
        <w:rPr>
          <w:rFonts w:hint="eastAsia" w:ascii="仿宋" w:hAnsi="仿宋" w:eastAsia="仿宋" w:cs="仿宋"/>
          <w:sz w:val="32"/>
          <w:szCs w:val="32"/>
          <w:lang w:val="en-US" w:eastAsia="zh-CN"/>
        </w:rPr>
      </w:pPr>
      <w:r>
        <w:rPr>
          <w:rFonts w:hint="eastAsia" w:ascii="仿宋" w:hAnsi="仿宋" w:eastAsia="仿宋" w:cs="仿宋"/>
          <w:sz w:val="32"/>
          <w:szCs w:val="32"/>
          <w:lang w:eastAsia="zh-CN"/>
        </w:rPr>
        <w:t>群众满意度得分为</w:t>
      </w:r>
      <w:r>
        <w:rPr>
          <w:rFonts w:hint="eastAsia" w:ascii="仿宋" w:hAnsi="仿宋" w:eastAsia="仿宋" w:cs="仿宋"/>
          <w:sz w:val="32"/>
          <w:szCs w:val="32"/>
          <w:lang w:val="en-US" w:eastAsia="zh-CN"/>
        </w:rPr>
        <w:t>18分</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四、项目综合评价结论和评价等级</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根据项目执行情况和项目绩效情况，</w:t>
      </w:r>
      <w:r>
        <w:rPr>
          <w:rFonts w:hint="eastAsia" w:ascii="仿宋" w:hAnsi="仿宋" w:eastAsia="仿宋" w:cs="仿宋"/>
          <w:sz w:val="32"/>
          <w:szCs w:val="32"/>
          <w:lang w:eastAsia="zh-CN"/>
        </w:rPr>
        <w:t>得</w:t>
      </w:r>
      <w:r>
        <w:rPr>
          <w:rFonts w:hint="eastAsia" w:ascii="仿宋" w:hAnsi="仿宋" w:eastAsia="仿宋" w:cs="仿宋"/>
          <w:sz w:val="32"/>
          <w:szCs w:val="32"/>
        </w:rPr>
        <w:t>出总得分</w:t>
      </w:r>
      <w:r>
        <w:rPr>
          <w:rFonts w:hint="eastAsia" w:ascii="仿宋" w:hAnsi="仿宋" w:eastAsia="仿宋" w:cs="仿宋"/>
          <w:sz w:val="32"/>
          <w:szCs w:val="32"/>
          <w:lang w:eastAsia="zh-CN"/>
        </w:rPr>
        <w:t>为</w:t>
      </w:r>
      <w:r>
        <w:rPr>
          <w:rFonts w:hint="eastAsia" w:ascii="仿宋" w:hAnsi="仿宋" w:eastAsia="仿宋" w:cs="仿宋"/>
          <w:sz w:val="32"/>
          <w:szCs w:val="32"/>
          <w:lang w:val="en-US" w:eastAsia="zh-CN"/>
        </w:rPr>
        <w:t>95分</w:t>
      </w:r>
      <w:r>
        <w:rPr>
          <w:rFonts w:hint="eastAsia" w:ascii="仿宋" w:hAnsi="仿宋" w:eastAsia="仿宋" w:cs="仿宋"/>
          <w:sz w:val="32"/>
          <w:szCs w:val="32"/>
        </w:rPr>
        <w:t>，指标体系设定满分100分，得出综合评价结论和项目综合绩效评价等级为优秀。</w:t>
      </w:r>
    </w:p>
    <w:p>
      <w:pPr>
        <w:numPr>
          <w:ilvl w:val="0"/>
          <w:numId w:val="5"/>
        </w:num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评价工作组人员名单及签字（姓名、工作单位、职务、职称）</w:t>
      </w:r>
    </w:p>
    <w:tbl>
      <w:tblPr>
        <w:tblStyle w:val="3"/>
        <w:tblpPr w:leftFromText="180" w:rightFromText="180" w:vertAnchor="text" w:horzAnchor="page" w:tblpX="1875" w:tblpY="572"/>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9"/>
        <w:gridCol w:w="2661"/>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599"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c>
          <w:tcPr>
            <w:tcW w:w="2661"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单位</w:t>
            </w:r>
          </w:p>
        </w:tc>
        <w:tc>
          <w:tcPr>
            <w:tcW w:w="2131"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2131"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599" w:type="dxa"/>
            <w:vAlign w:val="center"/>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张立辉</w:t>
            </w:r>
          </w:p>
        </w:tc>
        <w:tc>
          <w:tcPr>
            <w:tcW w:w="2661" w:type="dxa"/>
            <w:vAlign w:val="center"/>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南孟镇人民政府</w:t>
            </w:r>
          </w:p>
        </w:tc>
        <w:tc>
          <w:tcPr>
            <w:tcW w:w="2131" w:type="dxa"/>
            <w:vAlign w:val="center"/>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镇</w:t>
            </w:r>
            <w:r>
              <w:rPr>
                <w:rFonts w:hint="eastAsia" w:ascii="仿宋" w:hAnsi="仿宋" w:eastAsia="仿宋" w:cs="仿宋"/>
                <w:sz w:val="32"/>
                <w:szCs w:val="32"/>
                <w:vertAlign w:val="baseline"/>
                <w:lang w:val="en-US" w:eastAsia="zh-CN"/>
              </w:rPr>
              <w:t xml:space="preserve">      </w:t>
            </w:r>
            <w:r>
              <w:rPr>
                <w:rFonts w:hint="eastAsia" w:ascii="仿宋" w:hAnsi="仿宋" w:eastAsia="仿宋" w:cs="仿宋"/>
                <w:sz w:val="32"/>
                <w:szCs w:val="32"/>
                <w:vertAlign w:val="baseline"/>
                <w:lang w:eastAsia="zh-CN"/>
              </w:rPr>
              <w:t>长</w:t>
            </w:r>
          </w:p>
        </w:tc>
        <w:tc>
          <w:tcPr>
            <w:tcW w:w="2131" w:type="dxa"/>
            <w:vAlign w:val="center"/>
          </w:tcPr>
          <w:p>
            <w:pPr>
              <w:jc w:val="center"/>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599" w:type="dxa"/>
            <w:vAlign w:val="center"/>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李树军</w:t>
            </w:r>
          </w:p>
        </w:tc>
        <w:tc>
          <w:tcPr>
            <w:tcW w:w="2661" w:type="dxa"/>
            <w:vAlign w:val="center"/>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南孟镇人民政府</w:t>
            </w:r>
          </w:p>
        </w:tc>
        <w:tc>
          <w:tcPr>
            <w:tcW w:w="2131" w:type="dxa"/>
            <w:vAlign w:val="center"/>
          </w:tcPr>
          <w:p>
            <w:pPr>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宣传委员</w:t>
            </w:r>
          </w:p>
        </w:tc>
        <w:tc>
          <w:tcPr>
            <w:tcW w:w="2131" w:type="dxa"/>
            <w:vAlign w:val="center"/>
          </w:tcPr>
          <w:p>
            <w:pPr>
              <w:jc w:val="center"/>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599"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张文彦</w:t>
            </w:r>
          </w:p>
        </w:tc>
        <w:tc>
          <w:tcPr>
            <w:tcW w:w="2661"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南孟镇人民政府</w:t>
            </w:r>
          </w:p>
        </w:tc>
        <w:tc>
          <w:tcPr>
            <w:tcW w:w="2131" w:type="dxa"/>
            <w:vAlign w:val="center"/>
          </w:tcPr>
          <w:p>
            <w:pPr>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财 政 所 长</w:t>
            </w:r>
          </w:p>
        </w:tc>
        <w:tc>
          <w:tcPr>
            <w:tcW w:w="2131" w:type="dxa"/>
            <w:vAlign w:val="center"/>
          </w:tcPr>
          <w:p>
            <w:pPr>
              <w:jc w:val="center"/>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599"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杨宏刚</w:t>
            </w:r>
          </w:p>
        </w:tc>
        <w:tc>
          <w:tcPr>
            <w:tcW w:w="2661"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南孟镇人民政府</w:t>
            </w:r>
          </w:p>
        </w:tc>
        <w:tc>
          <w:tcPr>
            <w:tcW w:w="2131" w:type="dxa"/>
            <w:vAlign w:val="center"/>
          </w:tcPr>
          <w:p>
            <w:pPr>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环保、土地主管副职</w:t>
            </w:r>
          </w:p>
        </w:tc>
        <w:tc>
          <w:tcPr>
            <w:tcW w:w="2131" w:type="dxa"/>
            <w:vAlign w:val="center"/>
          </w:tcPr>
          <w:p>
            <w:pPr>
              <w:jc w:val="center"/>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599"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范泽军</w:t>
            </w:r>
          </w:p>
        </w:tc>
        <w:tc>
          <w:tcPr>
            <w:tcW w:w="2661" w:type="dxa"/>
            <w:vAlign w:val="center"/>
          </w:tcPr>
          <w:p>
            <w:pPr>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南孟镇人民政府</w:t>
            </w:r>
          </w:p>
        </w:tc>
        <w:tc>
          <w:tcPr>
            <w:tcW w:w="2131" w:type="dxa"/>
            <w:vAlign w:val="center"/>
          </w:tcPr>
          <w:p>
            <w:pPr>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食品安全主管副职</w:t>
            </w:r>
          </w:p>
        </w:tc>
        <w:tc>
          <w:tcPr>
            <w:tcW w:w="2131" w:type="dxa"/>
            <w:vAlign w:val="center"/>
          </w:tcPr>
          <w:p>
            <w:pPr>
              <w:jc w:val="center"/>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599" w:type="dxa"/>
            <w:vAlign w:val="center"/>
          </w:tcPr>
          <w:p>
            <w:pPr>
              <w:jc w:val="center"/>
              <w:rPr>
                <w:rFonts w:hint="eastAsia" w:ascii="仿宋" w:hAnsi="仿宋" w:eastAsia="仿宋" w:cs="仿宋"/>
                <w:sz w:val="32"/>
                <w:szCs w:val="32"/>
                <w:vertAlign w:val="baseline"/>
                <w:lang w:eastAsia="zh-CN"/>
              </w:rPr>
            </w:pPr>
          </w:p>
        </w:tc>
        <w:tc>
          <w:tcPr>
            <w:tcW w:w="2661" w:type="dxa"/>
            <w:vAlign w:val="center"/>
          </w:tcPr>
          <w:p>
            <w:pPr>
              <w:jc w:val="center"/>
              <w:rPr>
                <w:rFonts w:hint="eastAsia" w:ascii="仿宋" w:hAnsi="仿宋" w:eastAsia="仿宋" w:cs="仿宋"/>
                <w:sz w:val="32"/>
                <w:szCs w:val="32"/>
                <w:vertAlign w:val="baseline"/>
                <w:lang w:eastAsia="zh-CN"/>
              </w:rPr>
            </w:pPr>
          </w:p>
        </w:tc>
        <w:tc>
          <w:tcPr>
            <w:tcW w:w="2131" w:type="dxa"/>
            <w:vAlign w:val="center"/>
          </w:tcPr>
          <w:p>
            <w:pPr>
              <w:jc w:val="center"/>
              <w:rPr>
                <w:rFonts w:hint="eastAsia" w:ascii="仿宋" w:hAnsi="仿宋" w:eastAsia="仿宋" w:cs="仿宋"/>
                <w:sz w:val="32"/>
                <w:szCs w:val="32"/>
                <w:vertAlign w:val="baseline"/>
                <w:lang w:val="en-US" w:eastAsia="zh-CN"/>
              </w:rPr>
            </w:pPr>
          </w:p>
        </w:tc>
        <w:tc>
          <w:tcPr>
            <w:tcW w:w="2131" w:type="dxa"/>
            <w:vAlign w:val="center"/>
          </w:tcPr>
          <w:p>
            <w:pPr>
              <w:jc w:val="center"/>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599" w:type="dxa"/>
            <w:vAlign w:val="center"/>
          </w:tcPr>
          <w:p>
            <w:pPr>
              <w:jc w:val="center"/>
              <w:rPr>
                <w:rFonts w:hint="eastAsia" w:ascii="仿宋" w:hAnsi="仿宋" w:eastAsia="仿宋" w:cs="仿宋"/>
                <w:sz w:val="32"/>
                <w:szCs w:val="32"/>
                <w:vertAlign w:val="baseline"/>
                <w:lang w:eastAsia="zh-CN"/>
              </w:rPr>
            </w:pPr>
          </w:p>
        </w:tc>
        <w:tc>
          <w:tcPr>
            <w:tcW w:w="2661" w:type="dxa"/>
            <w:vAlign w:val="center"/>
          </w:tcPr>
          <w:p>
            <w:pPr>
              <w:jc w:val="center"/>
              <w:rPr>
                <w:rFonts w:hint="eastAsia" w:ascii="仿宋" w:hAnsi="仿宋" w:eastAsia="仿宋" w:cs="仿宋"/>
                <w:sz w:val="32"/>
                <w:szCs w:val="32"/>
                <w:vertAlign w:val="baseline"/>
                <w:lang w:eastAsia="zh-CN"/>
              </w:rPr>
            </w:pPr>
          </w:p>
        </w:tc>
        <w:tc>
          <w:tcPr>
            <w:tcW w:w="2131" w:type="dxa"/>
            <w:vAlign w:val="center"/>
          </w:tcPr>
          <w:p>
            <w:pPr>
              <w:jc w:val="center"/>
              <w:rPr>
                <w:rFonts w:hint="eastAsia" w:ascii="仿宋" w:hAnsi="仿宋" w:eastAsia="仿宋" w:cs="仿宋"/>
                <w:sz w:val="32"/>
                <w:szCs w:val="32"/>
                <w:vertAlign w:val="baseline"/>
                <w:lang w:val="en-US" w:eastAsia="zh-CN"/>
              </w:rPr>
            </w:pPr>
          </w:p>
        </w:tc>
        <w:tc>
          <w:tcPr>
            <w:tcW w:w="2131" w:type="dxa"/>
            <w:vAlign w:val="center"/>
          </w:tcPr>
          <w:p>
            <w:pPr>
              <w:jc w:val="center"/>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599" w:type="dxa"/>
            <w:vAlign w:val="center"/>
          </w:tcPr>
          <w:p>
            <w:pPr>
              <w:jc w:val="center"/>
              <w:rPr>
                <w:rFonts w:hint="eastAsia" w:ascii="仿宋" w:hAnsi="仿宋" w:eastAsia="仿宋" w:cs="仿宋"/>
                <w:sz w:val="32"/>
                <w:szCs w:val="32"/>
                <w:vertAlign w:val="baseline"/>
                <w:lang w:eastAsia="zh-CN"/>
              </w:rPr>
            </w:pPr>
          </w:p>
        </w:tc>
        <w:tc>
          <w:tcPr>
            <w:tcW w:w="2661" w:type="dxa"/>
            <w:vAlign w:val="center"/>
          </w:tcPr>
          <w:p>
            <w:pPr>
              <w:jc w:val="center"/>
              <w:rPr>
                <w:rFonts w:hint="eastAsia" w:ascii="仿宋" w:hAnsi="仿宋" w:eastAsia="仿宋" w:cs="仿宋"/>
                <w:sz w:val="32"/>
                <w:szCs w:val="32"/>
                <w:vertAlign w:val="baseline"/>
                <w:lang w:eastAsia="zh-CN"/>
              </w:rPr>
            </w:pPr>
          </w:p>
        </w:tc>
        <w:tc>
          <w:tcPr>
            <w:tcW w:w="2131" w:type="dxa"/>
            <w:vAlign w:val="center"/>
          </w:tcPr>
          <w:p>
            <w:pPr>
              <w:jc w:val="center"/>
              <w:rPr>
                <w:rFonts w:hint="eastAsia" w:ascii="仿宋" w:hAnsi="仿宋" w:eastAsia="仿宋" w:cs="仿宋"/>
                <w:sz w:val="32"/>
                <w:szCs w:val="32"/>
                <w:vertAlign w:val="baseline"/>
                <w:lang w:val="en-US" w:eastAsia="zh-CN"/>
              </w:rPr>
            </w:pPr>
          </w:p>
        </w:tc>
        <w:tc>
          <w:tcPr>
            <w:tcW w:w="2131" w:type="dxa"/>
            <w:vAlign w:val="center"/>
          </w:tcPr>
          <w:p>
            <w:pPr>
              <w:jc w:val="center"/>
              <w:rPr>
                <w:rFonts w:hint="eastAsia" w:ascii="仿宋" w:hAnsi="仿宋" w:eastAsia="仿宋" w:cs="仿宋"/>
                <w:sz w:val="32"/>
                <w:szCs w:val="32"/>
                <w:vertAlign w:val="baseline"/>
              </w:rPr>
            </w:pPr>
          </w:p>
        </w:tc>
      </w:tr>
    </w:tbl>
    <w:p>
      <w:pPr>
        <w:widowControl w:val="0"/>
        <w:numPr>
          <w:ilvl w:val="0"/>
          <w:numId w:val="0"/>
        </w:numPr>
        <w:adjustRightInd w:val="0"/>
        <w:snapToGrid w:val="0"/>
        <w:spacing w:line="360" w:lineRule="auto"/>
        <w:jc w:val="both"/>
        <w:rPr>
          <w:rFonts w:hint="eastAsia" w:ascii="仿宋" w:hAnsi="仿宋" w:eastAsia="仿宋" w:cs="仿宋"/>
          <w:sz w:val="32"/>
          <w:szCs w:val="32"/>
        </w:rPr>
      </w:pPr>
    </w:p>
    <w:p>
      <w:pPr>
        <w:widowControl w:val="0"/>
        <w:numPr>
          <w:ilvl w:val="0"/>
          <w:numId w:val="0"/>
        </w:numPr>
        <w:adjustRightInd w:val="0"/>
        <w:snapToGrid w:val="0"/>
        <w:spacing w:line="360" w:lineRule="auto"/>
        <w:jc w:val="both"/>
        <w:rPr>
          <w:rFonts w:hint="eastAsia" w:ascii="仿宋" w:hAnsi="仿宋" w:eastAsia="仿宋" w:cs="仿宋"/>
          <w:sz w:val="32"/>
          <w:szCs w:val="32"/>
        </w:rPr>
      </w:pPr>
    </w:p>
    <w:p>
      <w:pPr>
        <w:widowControl w:val="0"/>
        <w:numPr>
          <w:ilvl w:val="0"/>
          <w:numId w:val="0"/>
        </w:numPr>
        <w:adjustRightInd w:val="0"/>
        <w:snapToGrid w:val="0"/>
        <w:spacing w:line="360" w:lineRule="auto"/>
        <w:jc w:val="both"/>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A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96C658"/>
    <w:multiLevelType w:val="singleLevel"/>
    <w:tmpl w:val="B596C658"/>
    <w:lvl w:ilvl="0" w:tentative="0">
      <w:start w:val="2"/>
      <w:numFmt w:val="chineseCounting"/>
      <w:suff w:val="nothing"/>
      <w:lvlText w:val="（%1）"/>
      <w:lvlJc w:val="left"/>
      <w:rPr>
        <w:rFonts w:hint="eastAsia"/>
      </w:rPr>
    </w:lvl>
  </w:abstractNum>
  <w:abstractNum w:abstractNumId="1">
    <w:nsid w:val="C1667424"/>
    <w:multiLevelType w:val="singleLevel"/>
    <w:tmpl w:val="C1667424"/>
    <w:lvl w:ilvl="0" w:tentative="0">
      <w:start w:val="1"/>
      <w:numFmt w:val="decimal"/>
      <w:suff w:val="nothing"/>
      <w:lvlText w:val="%1、"/>
      <w:lvlJc w:val="left"/>
      <w:pPr>
        <w:ind w:left="736" w:leftChars="0" w:firstLine="0" w:firstLineChars="0"/>
      </w:pPr>
    </w:lvl>
  </w:abstractNum>
  <w:abstractNum w:abstractNumId="2">
    <w:nsid w:val="1B1172E4"/>
    <w:multiLevelType w:val="singleLevel"/>
    <w:tmpl w:val="1B1172E4"/>
    <w:lvl w:ilvl="0" w:tentative="0">
      <w:start w:val="5"/>
      <w:numFmt w:val="chineseCounting"/>
      <w:suff w:val="nothing"/>
      <w:lvlText w:val="%1、"/>
      <w:lvlJc w:val="left"/>
      <w:rPr>
        <w:rFonts w:hint="eastAsia"/>
      </w:rPr>
    </w:lvl>
  </w:abstractNum>
  <w:abstractNum w:abstractNumId="3">
    <w:nsid w:val="36B2BF91"/>
    <w:multiLevelType w:val="singleLevel"/>
    <w:tmpl w:val="36B2BF91"/>
    <w:lvl w:ilvl="0" w:tentative="0">
      <w:start w:val="2"/>
      <w:numFmt w:val="decimal"/>
      <w:lvlText w:val="%1."/>
      <w:lvlJc w:val="left"/>
      <w:pPr>
        <w:tabs>
          <w:tab w:val="left" w:pos="312"/>
        </w:tabs>
        <w:ind w:left="800" w:leftChars="0" w:firstLine="0" w:firstLineChars="0"/>
      </w:pPr>
    </w:lvl>
  </w:abstractNum>
  <w:abstractNum w:abstractNumId="4">
    <w:nsid w:val="62A4B407"/>
    <w:multiLevelType w:val="singleLevel"/>
    <w:tmpl w:val="62A4B407"/>
    <w:lvl w:ilvl="0" w:tentative="0">
      <w:start w:val="2"/>
      <w:numFmt w:val="decimal"/>
      <w:suff w:val="nothing"/>
      <w:lvlText w:val="（%1）"/>
      <w:lvlJc w:val="left"/>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88D2CA7"/>
    <w:rsid w:val="11A91368"/>
    <w:rsid w:val="1FCF753B"/>
    <w:rsid w:val="239223E7"/>
    <w:rsid w:val="26780261"/>
    <w:rsid w:val="275669F1"/>
    <w:rsid w:val="2E360B7F"/>
    <w:rsid w:val="3DB75EB9"/>
    <w:rsid w:val="5384693A"/>
    <w:rsid w:val="56330960"/>
    <w:rsid w:val="62D82663"/>
    <w:rsid w:val="646B6AA4"/>
    <w:rsid w:val="692312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7</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藁城市关于填报《会员登记表》通知.wps</cp:lastModifiedBy>
  <dcterms:modified xsi:type="dcterms:W3CDTF">2020-05-26T03:54:01Z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