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宋体" w:eastAsia="仿宋_GB2312"/>
          <w:sz w:val="32"/>
          <w:szCs w:val="32"/>
        </w:rPr>
      </w:pPr>
      <w:r>
        <w:rPr>
          <w:rFonts w:hint="eastAsia" w:ascii="仿宋_GB2312" w:hAnsi="宋体" w:eastAsia="仿宋_GB2312"/>
          <w:sz w:val="32"/>
          <w:szCs w:val="32"/>
        </w:rPr>
        <w:t>附件2</w:t>
      </w:r>
    </w:p>
    <w:p>
      <w:pPr>
        <w:spacing w:line="360" w:lineRule="auto"/>
        <w:jc w:val="center"/>
        <w:rPr>
          <w:rFonts w:hint="eastAsia" w:ascii="仿宋" w:hAnsi="仿宋" w:eastAsia="仿宋" w:cs="仿宋"/>
          <w:sz w:val="32"/>
          <w:szCs w:val="32"/>
        </w:rPr>
      </w:pPr>
      <w:r>
        <w:rPr>
          <w:rFonts w:hint="eastAsia" w:ascii="宋体" w:hAnsi="宋体"/>
          <w:sz w:val="36"/>
          <w:szCs w:val="36"/>
          <w:lang w:eastAsia="zh-CN"/>
        </w:rPr>
        <w:t>藁城区质监</w:t>
      </w:r>
      <w:r>
        <w:rPr>
          <w:rFonts w:hint="eastAsia" w:ascii="宋体" w:hAnsi="宋体"/>
          <w:sz w:val="36"/>
          <w:szCs w:val="36"/>
        </w:rPr>
        <w:t>局</w:t>
      </w:r>
      <w:r>
        <w:rPr>
          <w:rFonts w:hint="eastAsia" w:ascii="宋体" w:hAnsi="宋体"/>
          <w:sz w:val="36"/>
          <w:szCs w:val="36"/>
          <w:lang w:eastAsia="zh-CN"/>
        </w:rPr>
        <w:t>打假办案经费</w:t>
      </w:r>
      <w:r>
        <w:rPr>
          <w:rFonts w:hint="eastAsia" w:ascii="宋体" w:hAnsi="宋体"/>
          <w:sz w:val="36"/>
          <w:szCs w:val="36"/>
        </w:rPr>
        <w:t>项目</w:t>
      </w: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center"/>
        <w:rPr>
          <w:rFonts w:hint="eastAsia" w:ascii="华文楷体" w:eastAsia="华文楷体"/>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 号），遵循“科学性、规范性、客观性和公正性”的原则，对</w:t>
      </w:r>
      <w:r>
        <w:rPr>
          <w:rFonts w:hint="eastAsia" w:ascii="仿宋_GB2312" w:eastAsia="仿宋_GB2312"/>
          <w:sz w:val="32"/>
          <w:szCs w:val="32"/>
          <w:lang w:eastAsia="zh-CN"/>
        </w:rPr>
        <w:t>打假办案经费</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按照省、市局和市委、市政府的总体部署和要求，结合我</w:t>
      </w:r>
      <w:r>
        <w:rPr>
          <w:rFonts w:hint="eastAsia" w:ascii="仿宋_GB2312" w:eastAsia="仿宋_GB2312"/>
          <w:sz w:val="32"/>
          <w:szCs w:val="32"/>
          <w:lang w:eastAsia="zh-CN"/>
        </w:rPr>
        <w:t>区</w:t>
      </w:r>
      <w:r>
        <w:rPr>
          <w:rFonts w:hint="eastAsia" w:ascii="仿宋_GB2312" w:eastAsia="仿宋_GB2312"/>
          <w:sz w:val="32"/>
          <w:szCs w:val="32"/>
        </w:rPr>
        <w:t>经济发展和自身工作实际，全面落实打假目标责任制，积极探索打假工作新思路，实施“队为基础，划分区域；明确职责，完善制度；突出重点，加强监管；责任到人，严格惩罚”的打假工作新机制。</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项目主要实施内容和范围；</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依法查处生产和经销假冒伪劣商品活动中的质量、标准违法行为和流通领域中的计量违法行为。做好打假举报、质量申诉和业务咨询等打假案件，努力发挥质监工作服务经济、促进发展。</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lang w:val="en-US" w:eastAsia="zh-CN"/>
        </w:rPr>
        <w:t>3</w:t>
      </w:r>
      <w:r>
        <w:rPr>
          <w:rFonts w:hint="eastAsia" w:ascii="仿宋_GB2312" w:eastAsia="仿宋_GB2312"/>
          <w:sz w:val="32"/>
          <w:szCs w:val="32"/>
        </w:rPr>
        <w:t>.项目</w:t>
      </w:r>
      <w:r>
        <w:rPr>
          <w:rFonts w:hint="eastAsia" w:ascii="仿宋_GB2312" w:eastAsia="仿宋_GB2312"/>
          <w:sz w:val="32"/>
          <w:szCs w:val="32"/>
          <w:lang w:eastAsia="zh-CN"/>
        </w:rPr>
        <w:t>资金投入和</w:t>
      </w:r>
      <w:r>
        <w:rPr>
          <w:rFonts w:hint="eastAsia" w:ascii="仿宋_GB2312" w:eastAsia="仿宋_GB2312"/>
          <w:sz w:val="32"/>
          <w:szCs w:val="32"/>
        </w:rPr>
        <w:t>实施过程</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一是为了全面落实行政执法全过程记录制度，购买执法装备；二是为了提高执法有效性，提高执法能力，购买执法过程中所用快速检验检测装备。三是落实法制审核人员职业化标准，聘请有法律资格人员对执法过程进行审核把关。</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项目预期绩效总目标，阶段性（当年）的绩效目标和指标；</w:t>
      </w:r>
    </w:p>
    <w:p>
      <w:pPr>
        <w:adjustRightInd w:val="0"/>
        <w:snapToGrid w:val="0"/>
        <w:spacing w:line="360" w:lineRule="auto"/>
        <w:ind w:firstLine="640" w:firstLineChars="200"/>
        <w:rPr>
          <w:rFonts w:hint="eastAsia" w:ascii="仿宋_GB2312" w:hAnsi="Times New Roman" w:eastAsia="仿宋_GB2312" w:cs="Times New Roman"/>
          <w:sz w:val="32"/>
          <w:szCs w:val="32"/>
        </w:rPr>
      </w:pPr>
      <w:r>
        <w:rPr>
          <w:rFonts w:hint="eastAsia" w:ascii="仿宋_GB2312" w:eastAsia="仿宋_GB2312"/>
          <w:sz w:val="32"/>
          <w:szCs w:val="32"/>
        </w:rPr>
        <w:t>加大执法力度，</w:t>
      </w:r>
      <w:r>
        <w:rPr>
          <w:rFonts w:hint="eastAsia" w:ascii="仿宋_GB2312" w:hAnsi="Times New Roman" w:eastAsia="仿宋_GB2312" w:cs="Times New Roman"/>
          <w:sz w:val="32"/>
          <w:szCs w:val="32"/>
        </w:rPr>
        <w:t>杜绝</w:t>
      </w:r>
      <w:r>
        <w:rPr>
          <w:rFonts w:hint="eastAsia" w:ascii="仿宋_GB2312" w:hAnsi="Times New Roman" w:eastAsia="仿宋_GB2312" w:cs="Times New Roman"/>
          <w:sz w:val="32"/>
          <w:szCs w:val="32"/>
          <w:lang w:eastAsia="zh-CN"/>
        </w:rPr>
        <w:t>假冒伪劣的</w:t>
      </w:r>
      <w:r>
        <w:rPr>
          <w:rFonts w:hint="eastAsia" w:ascii="仿宋_GB2312" w:hAnsi="Times New Roman" w:eastAsia="仿宋_GB2312" w:cs="Times New Roman"/>
          <w:sz w:val="32"/>
          <w:szCs w:val="32"/>
        </w:rPr>
        <w:t>现象，夯实</w:t>
      </w:r>
      <w:r>
        <w:rPr>
          <w:rFonts w:hint="eastAsia" w:ascii="仿宋_GB2312" w:hAnsi="Times New Roman" w:eastAsia="仿宋_GB2312" w:cs="Times New Roman"/>
          <w:sz w:val="32"/>
          <w:szCs w:val="32"/>
          <w:lang w:eastAsia="zh-CN"/>
        </w:rPr>
        <w:t>产品质量</w:t>
      </w:r>
      <w:r>
        <w:rPr>
          <w:rFonts w:hint="eastAsia" w:ascii="仿宋_GB2312" w:hAnsi="Times New Roman" w:eastAsia="仿宋_GB2312" w:cs="Times New Roman"/>
          <w:sz w:val="32"/>
          <w:szCs w:val="32"/>
        </w:rPr>
        <w:t>生产基础。优化市场环境，确保消费者权益。</w:t>
      </w:r>
    </w:p>
    <w:p>
      <w:pPr>
        <w:ind w:firstLine="660"/>
        <w:rPr>
          <w:rFonts w:hint="eastAsia" w:ascii="黑体" w:hAnsi="黑体" w:eastAsia="黑体" w:cs="黑体"/>
          <w:sz w:val="32"/>
          <w:szCs w:val="32"/>
          <w:lang w:eastAsia="zh-CN"/>
        </w:rPr>
      </w:pPr>
      <w:r>
        <w:rPr>
          <w:rFonts w:hint="eastAsia" w:ascii="黑体" w:hAnsi="黑体" w:eastAsia="黑体" w:cs="黑体"/>
          <w:sz w:val="32"/>
          <w:szCs w:val="32"/>
        </w:rPr>
        <w:t>二、绩效评价</w:t>
      </w:r>
      <w:r>
        <w:rPr>
          <w:rFonts w:hint="eastAsia" w:ascii="黑体" w:hAnsi="黑体" w:eastAsia="黑体" w:cs="黑体"/>
          <w:sz w:val="32"/>
          <w:szCs w:val="32"/>
          <w:lang w:eastAsia="zh-CN"/>
        </w:rPr>
        <w:t>指标体系</w:t>
      </w:r>
    </w:p>
    <w:tbl>
      <w:tblPr>
        <w:tblW w:w="8526" w:type="dxa"/>
        <w:tblInd w:w="0" w:type="dxa"/>
        <w:shd w:val="clear"/>
        <w:tblLayout w:type="fixed"/>
        <w:tblCellMar>
          <w:top w:w="0" w:type="dxa"/>
          <w:left w:w="0" w:type="dxa"/>
          <w:bottom w:w="0" w:type="dxa"/>
          <w:right w:w="0" w:type="dxa"/>
        </w:tblCellMar>
      </w:tblPr>
      <w:tblGrid>
        <w:gridCol w:w="1071"/>
        <w:gridCol w:w="1170"/>
        <w:gridCol w:w="1785"/>
        <w:gridCol w:w="615"/>
        <w:gridCol w:w="705"/>
        <w:gridCol w:w="675"/>
        <w:gridCol w:w="690"/>
        <w:gridCol w:w="1815"/>
      </w:tblGrid>
      <w:tr>
        <w:tblPrEx>
          <w:shd w:val="clear"/>
          <w:tblCellMar>
            <w:top w:w="0" w:type="dxa"/>
            <w:left w:w="0" w:type="dxa"/>
            <w:bottom w:w="0" w:type="dxa"/>
            <w:right w:w="0" w:type="dxa"/>
          </w:tblCellMar>
        </w:tblPrEx>
        <w:trPr>
          <w:trHeight w:val="410" w:hRule="atLeast"/>
        </w:trPr>
        <w:tc>
          <w:tcPr>
            <w:tcW w:w="1071" w:type="dxa"/>
            <w:vMerge w:val="restar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bdr w:val="none" w:color="auto" w:sz="0" w:space="0"/>
                <w:lang w:val="en-US" w:eastAsia="zh-CN" w:bidi="ar"/>
              </w:rPr>
              <w:t>绩效指标</w:t>
            </w:r>
            <w:r>
              <w:rPr>
                <w:rFonts w:hint="eastAsia" w:ascii="宋体" w:hAnsi="宋体" w:eastAsia="宋体" w:cs="宋体"/>
                <w:b/>
                <w:i w:val="0"/>
                <w:color w:val="000000"/>
                <w:kern w:val="0"/>
                <w:sz w:val="21"/>
                <w:szCs w:val="21"/>
                <w:u w:val="none"/>
                <w:bdr w:val="none" w:color="auto" w:sz="0" w:space="0"/>
                <w:lang w:val="en-US" w:eastAsia="zh-CN" w:bidi="ar"/>
              </w:rPr>
              <w:br w:type="textWrapping"/>
            </w:r>
            <w:r>
              <w:rPr>
                <w:rFonts w:hint="eastAsia" w:ascii="宋体" w:hAnsi="宋体" w:eastAsia="宋体" w:cs="宋体"/>
                <w:b/>
                <w:i w:val="0"/>
                <w:color w:val="000000"/>
                <w:kern w:val="0"/>
                <w:sz w:val="21"/>
                <w:szCs w:val="21"/>
                <w:u w:val="none"/>
                <w:bdr w:val="none" w:color="auto" w:sz="0" w:space="0"/>
                <w:lang w:val="en-US" w:eastAsia="zh-CN" w:bidi="ar"/>
              </w:rPr>
              <w:t>分类</w:t>
            </w:r>
          </w:p>
        </w:tc>
        <w:tc>
          <w:tcPr>
            <w:tcW w:w="1170"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bdr w:val="none" w:color="auto" w:sz="0" w:space="0"/>
                <w:lang w:val="en-US" w:eastAsia="zh-CN" w:bidi="ar"/>
              </w:rPr>
              <w:t>绩效指标</w:t>
            </w:r>
          </w:p>
        </w:tc>
        <w:tc>
          <w:tcPr>
            <w:tcW w:w="178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bdr w:val="none" w:color="auto" w:sz="0" w:space="0"/>
                <w:lang w:val="en-US" w:eastAsia="zh-CN" w:bidi="ar"/>
              </w:rPr>
              <w:t>绩效指标描述</w:t>
            </w:r>
          </w:p>
        </w:tc>
        <w:tc>
          <w:tcPr>
            <w:tcW w:w="2685" w:type="dxa"/>
            <w:gridSpan w:val="4"/>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bdr w:val="none" w:color="auto" w:sz="0" w:space="0"/>
                <w:lang w:val="en-US" w:eastAsia="zh-CN" w:bidi="ar"/>
              </w:rPr>
              <w:t>绩效指标评价标准</w:t>
            </w:r>
          </w:p>
        </w:tc>
        <w:tc>
          <w:tcPr>
            <w:tcW w:w="1815" w:type="dxa"/>
            <w:vMerge w:val="restart"/>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bdr w:val="none" w:color="auto" w:sz="0" w:space="0"/>
                <w:lang w:val="en-US" w:eastAsia="zh-CN" w:bidi="ar"/>
              </w:rPr>
              <w:t>评价标准确定依据</w:t>
            </w:r>
          </w:p>
        </w:tc>
      </w:tr>
      <w:tr>
        <w:tblPrEx>
          <w:tblCellMar>
            <w:top w:w="0" w:type="dxa"/>
            <w:left w:w="0" w:type="dxa"/>
            <w:bottom w:w="0" w:type="dxa"/>
            <w:right w:w="0" w:type="dxa"/>
          </w:tblCellMar>
        </w:tblPrEx>
        <w:trPr>
          <w:trHeight w:val="375" w:hRule="atLeast"/>
        </w:trPr>
        <w:tc>
          <w:tcPr>
            <w:tcW w:w="1071"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b/>
                <w:i w:val="0"/>
                <w:color w:val="000000"/>
                <w:sz w:val="21"/>
                <w:szCs w:val="21"/>
                <w:u w:val="none"/>
              </w:rPr>
            </w:pPr>
          </w:p>
        </w:tc>
        <w:tc>
          <w:tcPr>
            <w:tcW w:w="1170"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b/>
                <w:i w:val="0"/>
                <w:color w:val="000000"/>
                <w:sz w:val="21"/>
                <w:szCs w:val="21"/>
                <w:u w:val="none"/>
              </w:rPr>
            </w:pPr>
          </w:p>
        </w:tc>
        <w:tc>
          <w:tcPr>
            <w:tcW w:w="178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b/>
                <w:i w:val="0"/>
                <w:color w:val="000000"/>
                <w:sz w:val="21"/>
                <w:szCs w:val="21"/>
                <w:u w:val="none"/>
              </w:rPr>
            </w:pPr>
          </w:p>
        </w:tc>
        <w:tc>
          <w:tcPr>
            <w:tcW w:w="6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bdr w:val="none" w:color="auto" w:sz="0" w:space="0"/>
                <w:lang w:val="en-US" w:eastAsia="zh-CN" w:bidi="ar"/>
              </w:rPr>
              <w:t>优</w:t>
            </w:r>
          </w:p>
        </w:tc>
        <w:tc>
          <w:tcPr>
            <w:tcW w:w="70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bdr w:val="none" w:color="auto" w:sz="0" w:space="0"/>
                <w:lang w:val="en-US" w:eastAsia="zh-CN" w:bidi="ar"/>
              </w:rPr>
              <w:t>良</w:t>
            </w:r>
          </w:p>
        </w:tc>
        <w:tc>
          <w:tcPr>
            <w:tcW w:w="67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bdr w:val="none" w:color="auto" w:sz="0" w:space="0"/>
                <w:lang w:val="en-US" w:eastAsia="zh-CN" w:bidi="ar"/>
              </w:rPr>
              <w:t>中</w:t>
            </w:r>
          </w:p>
        </w:tc>
        <w:tc>
          <w:tcPr>
            <w:tcW w:w="69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bdr w:val="none" w:color="auto" w:sz="0" w:space="0"/>
                <w:lang w:val="en-US" w:eastAsia="zh-CN" w:bidi="ar"/>
              </w:rPr>
              <w:t>差</w:t>
            </w:r>
          </w:p>
        </w:tc>
        <w:tc>
          <w:tcPr>
            <w:tcW w:w="1815" w:type="dxa"/>
            <w:vMerge w:val="continue"/>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b/>
                <w:i w:val="0"/>
                <w:color w:val="000000"/>
                <w:sz w:val="21"/>
                <w:szCs w:val="21"/>
                <w:u w:val="none"/>
              </w:rPr>
            </w:pPr>
          </w:p>
        </w:tc>
      </w:tr>
      <w:tr>
        <w:tblPrEx>
          <w:tblCellMar>
            <w:top w:w="0" w:type="dxa"/>
            <w:left w:w="0" w:type="dxa"/>
            <w:bottom w:w="0" w:type="dxa"/>
            <w:right w:w="0" w:type="dxa"/>
          </w:tblCellMar>
        </w:tblPrEx>
        <w:trPr>
          <w:trHeight w:val="300" w:hRule="atLeast"/>
        </w:trPr>
        <w:tc>
          <w:tcPr>
            <w:tcW w:w="1071" w:type="dxa"/>
            <w:vMerge w:val="restart"/>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bdr w:val="none" w:color="auto" w:sz="0" w:space="0"/>
                <w:lang w:val="en-US" w:eastAsia="zh-CN" w:bidi="ar"/>
              </w:rPr>
              <w:t>产出指标</w:t>
            </w:r>
          </w:p>
        </w:tc>
        <w:tc>
          <w:tcPr>
            <w:tcW w:w="11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办理案件数（个）</w:t>
            </w:r>
          </w:p>
        </w:tc>
        <w:tc>
          <w:tcPr>
            <w:tcW w:w="178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实际办理案件数量</w:t>
            </w:r>
          </w:p>
        </w:tc>
        <w:tc>
          <w:tcPr>
            <w:tcW w:w="6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≥50</w:t>
            </w:r>
          </w:p>
        </w:tc>
        <w:tc>
          <w:tcPr>
            <w:tcW w:w="70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≥45</w:t>
            </w:r>
          </w:p>
        </w:tc>
        <w:tc>
          <w:tcPr>
            <w:tcW w:w="67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≥40</w:t>
            </w:r>
          </w:p>
        </w:tc>
        <w:tc>
          <w:tcPr>
            <w:tcW w:w="69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≥35</w:t>
            </w:r>
          </w:p>
        </w:tc>
        <w:tc>
          <w:tcPr>
            <w:tcW w:w="18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受理案件数量</w:t>
            </w:r>
          </w:p>
        </w:tc>
      </w:tr>
      <w:tr>
        <w:tblPrEx>
          <w:tblCellMar>
            <w:top w:w="0" w:type="dxa"/>
            <w:left w:w="0" w:type="dxa"/>
            <w:bottom w:w="0" w:type="dxa"/>
            <w:right w:w="0" w:type="dxa"/>
          </w:tblCellMar>
        </w:tblPrEx>
        <w:trPr>
          <w:trHeight w:val="300" w:hRule="atLeast"/>
        </w:trPr>
        <w:tc>
          <w:tcPr>
            <w:tcW w:w="1071"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b/>
                <w:i w:val="0"/>
                <w:color w:val="000000"/>
                <w:sz w:val="21"/>
                <w:szCs w:val="21"/>
                <w:u w:val="none"/>
              </w:rPr>
            </w:pPr>
          </w:p>
        </w:tc>
        <w:tc>
          <w:tcPr>
            <w:tcW w:w="11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执法行动次数（次）</w:t>
            </w:r>
          </w:p>
        </w:tc>
        <w:tc>
          <w:tcPr>
            <w:tcW w:w="178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执法行动的次数</w:t>
            </w:r>
          </w:p>
        </w:tc>
        <w:tc>
          <w:tcPr>
            <w:tcW w:w="6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≥55</w:t>
            </w:r>
          </w:p>
        </w:tc>
        <w:tc>
          <w:tcPr>
            <w:tcW w:w="70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≥50</w:t>
            </w:r>
          </w:p>
        </w:tc>
        <w:tc>
          <w:tcPr>
            <w:tcW w:w="67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≥45</w:t>
            </w:r>
          </w:p>
        </w:tc>
        <w:tc>
          <w:tcPr>
            <w:tcW w:w="69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≥40</w:t>
            </w:r>
          </w:p>
        </w:tc>
        <w:tc>
          <w:tcPr>
            <w:tcW w:w="18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执法行动次数</w:t>
            </w:r>
          </w:p>
        </w:tc>
      </w:tr>
      <w:tr>
        <w:tblPrEx>
          <w:tblCellMar>
            <w:top w:w="0" w:type="dxa"/>
            <w:left w:w="0" w:type="dxa"/>
            <w:bottom w:w="0" w:type="dxa"/>
            <w:right w:w="0" w:type="dxa"/>
          </w:tblCellMar>
        </w:tblPrEx>
        <w:trPr>
          <w:trHeight w:val="300" w:hRule="atLeast"/>
        </w:trPr>
        <w:tc>
          <w:tcPr>
            <w:tcW w:w="1071" w:type="dxa"/>
            <w:vMerge w:val="continue"/>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b/>
                <w:i w:val="0"/>
                <w:color w:val="000000"/>
                <w:sz w:val="21"/>
                <w:szCs w:val="21"/>
                <w:u w:val="none"/>
              </w:rPr>
            </w:pPr>
          </w:p>
        </w:tc>
        <w:tc>
          <w:tcPr>
            <w:tcW w:w="11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178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6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70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67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69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18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tblCellMar>
            <w:top w:w="0" w:type="dxa"/>
            <w:left w:w="0" w:type="dxa"/>
            <w:bottom w:w="0" w:type="dxa"/>
            <w:right w:w="0" w:type="dxa"/>
          </w:tblCellMar>
        </w:tblPrEx>
        <w:trPr>
          <w:trHeight w:val="675" w:hRule="atLeast"/>
        </w:trPr>
        <w:tc>
          <w:tcPr>
            <w:tcW w:w="1071"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bdr w:val="none" w:color="auto" w:sz="0" w:space="0"/>
                <w:lang w:val="en-US" w:eastAsia="zh-CN" w:bidi="ar"/>
              </w:rPr>
              <w:t>效果指标</w:t>
            </w:r>
          </w:p>
        </w:tc>
        <w:tc>
          <w:tcPr>
            <w:tcW w:w="11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执法办案行为投诉率（%）</w:t>
            </w:r>
          </w:p>
        </w:tc>
        <w:tc>
          <w:tcPr>
            <w:tcW w:w="178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被投诉的执法办案行为次数占执法办案总数的比率</w:t>
            </w:r>
          </w:p>
        </w:tc>
        <w:tc>
          <w:tcPr>
            <w:tcW w:w="6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21"/>
                <w:szCs w:val="21"/>
                <w:u w:val="none"/>
                <w:lang w:val="en-US" w:eastAsia="zh-CN"/>
              </w:rPr>
            </w:pPr>
            <w:r>
              <w:rPr>
                <w:rFonts w:hint="eastAsia" w:ascii="宋体" w:hAnsi="宋体" w:cs="宋体"/>
                <w:i w:val="0"/>
                <w:color w:val="000000"/>
                <w:sz w:val="21"/>
                <w:szCs w:val="21"/>
                <w:u w:val="none"/>
                <w:lang w:eastAsia="zh-CN"/>
              </w:rPr>
              <w:t>＜</w:t>
            </w:r>
            <w:r>
              <w:rPr>
                <w:rFonts w:hint="eastAsia" w:ascii="宋体" w:hAnsi="宋体" w:cs="宋体"/>
                <w:i w:val="0"/>
                <w:color w:val="000000"/>
                <w:sz w:val="21"/>
                <w:szCs w:val="21"/>
                <w:u w:val="none"/>
                <w:lang w:val="en-US" w:eastAsia="zh-CN"/>
              </w:rPr>
              <w:t>5%</w:t>
            </w:r>
          </w:p>
        </w:tc>
        <w:tc>
          <w:tcPr>
            <w:tcW w:w="70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≥5%</w:t>
            </w:r>
          </w:p>
        </w:tc>
        <w:tc>
          <w:tcPr>
            <w:tcW w:w="67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w:t>
            </w:r>
            <w:r>
              <w:rPr>
                <w:rFonts w:hint="eastAsia" w:ascii="宋体" w:hAnsi="宋体" w:cs="宋体"/>
                <w:i w:val="0"/>
                <w:color w:val="000000"/>
                <w:kern w:val="0"/>
                <w:sz w:val="21"/>
                <w:szCs w:val="21"/>
                <w:u w:val="none"/>
                <w:bdr w:val="none" w:color="auto" w:sz="0" w:space="0"/>
                <w:lang w:val="en-US" w:eastAsia="zh-CN" w:bidi="ar"/>
              </w:rPr>
              <w:t>1</w:t>
            </w:r>
            <w:r>
              <w:rPr>
                <w:rFonts w:hint="eastAsia" w:ascii="宋体" w:hAnsi="宋体" w:eastAsia="宋体" w:cs="宋体"/>
                <w:i w:val="0"/>
                <w:color w:val="000000"/>
                <w:kern w:val="0"/>
                <w:sz w:val="21"/>
                <w:szCs w:val="21"/>
                <w:u w:val="none"/>
                <w:bdr w:val="none" w:color="auto" w:sz="0" w:space="0"/>
                <w:lang w:val="en-US" w:eastAsia="zh-CN" w:bidi="ar"/>
              </w:rPr>
              <w:t>0%</w:t>
            </w:r>
          </w:p>
        </w:tc>
        <w:tc>
          <w:tcPr>
            <w:tcW w:w="69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w:t>
            </w:r>
            <w:r>
              <w:rPr>
                <w:rFonts w:hint="eastAsia" w:ascii="宋体" w:hAnsi="宋体" w:cs="宋体"/>
                <w:i w:val="0"/>
                <w:color w:val="000000"/>
                <w:kern w:val="0"/>
                <w:sz w:val="21"/>
                <w:szCs w:val="21"/>
                <w:u w:val="none"/>
                <w:bdr w:val="none" w:color="auto" w:sz="0" w:space="0"/>
                <w:lang w:val="en-US" w:eastAsia="zh-CN" w:bidi="ar"/>
              </w:rPr>
              <w:t>15</w:t>
            </w:r>
            <w:r>
              <w:rPr>
                <w:rFonts w:hint="eastAsia" w:ascii="宋体" w:hAnsi="宋体" w:eastAsia="宋体" w:cs="宋体"/>
                <w:i w:val="0"/>
                <w:color w:val="000000"/>
                <w:kern w:val="0"/>
                <w:sz w:val="21"/>
                <w:szCs w:val="21"/>
                <w:u w:val="none"/>
                <w:bdr w:val="none" w:color="auto" w:sz="0" w:space="0"/>
                <w:lang w:val="en-US" w:eastAsia="zh-CN" w:bidi="ar"/>
              </w:rPr>
              <w:t>%</w:t>
            </w:r>
          </w:p>
        </w:tc>
        <w:tc>
          <w:tcPr>
            <w:tcW w:w="18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执法办案投诉率</w:t>
            </w:r>
          </w:p>
        </w:tc>
      </w:tr>
      <w:tr>
        <w:tblPrEx>
          <w:tblCellMar>
            <w:top w:w="0" w:type="dxa"/>
            <w:left w:w="0" w:type="dxa"/>
            <w:bottom w:w="0" w:type="dxa"/>
            <w:right w:w="0" w:type="dxa"/>
          </w:tblCellMar>
        </w:tblPrEx>
        <w:trPr>
          <w:trHeight w:val="300" w:hRule="atLeast"/>
        </w:trPr>
        <w:tc>
          <w:tcPr>
            <w:tcW w:w="1071" w:type="dxa"/>
            <w:tcBorders>
              <w:top w:val="single" w:color="000000" w:sz="4" w:space="0"/>
              <w:left w:val="single" w:color="000000" w:sz="4" w:space="0"/>
              <w:bottom w:val="single" w:color="000000" w:sz="4" w:space="0"/>
              <w:right w:val="single" w:color="000000" w:sz="4" w:space="0"/>
            </w:tcBorders>
            <w:shd w:val="clear"/>
            <w:noWrap/>
            <w:tcMar>
              <w:top w:w="15" w:type="dxa"/>
              <w:left w:w="15" w:type="dxa"/>
              <w:right w:w="15" w:type="dxa"/>
            </w:tcMar>
            <w:vAlign w:val="center"/>
          </w:tcPr>
          <w:p>
            <w:pPr>
              <w:jc w:val="center"/>
              <w:rPr>
                <w:rFonts w:hint="eastAsia" w:ascii="宋体" w:hAnsi="宋体" w:eastAsia="宋体" w:cs="宋体"/>
                <w:b/>
                <w:i w:val="0"/>
                <w:color w:val="000000"/>
                <w:sz w:val="21"/>
                <w:szCs w:val="21"/>
                <w:u w:val="none"/>
              </w:rPr>
            </w:pPr>
          </w:p>
        </w:tc>
        <w:tc>
          <w:tcPr>
            <w:tcW w:w="117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178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6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70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67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690"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1815" w:type="dxa"/>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rPr>
                <w:rFonts w:hint="eastAsia" w:ascii="宋体" w:hAnsi="宋体" w:eastAsia="宋体" w:cs="宋体"/>
                <w:i w:val="0"/>
                <w:color w:val="000000"/>
                <w:sz w:val="21"/>
                <w:szCs w:val="21"/>
                <w:u w:val="none"/>
              </w:rPr>
            </w:pPr>
          </w:p>
        </w:tc>
      </w:tr>
    </w:tbl>
    <w:p>
      <w:pPr>
        <w:ind w:firstLine="633" w:firstLineChars="198"/>
        <w:rPr>
          <w:rFonts w:hint="eastAsia" w:ascii="黑体" w:hAnsi="黑体" w:eastAsia="黑体" w:cs="黑体"/>
          <w:sz w:val="32"/>
          <w:szCs w:val="32"/>
        </w:rPr>
      </w:pP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1、项目的实际完成率</w:t>
      </w:r>
      <w:r>
        <w:rPr>
          <w:rFonts w:hint="eastAsia" w:ascii="仿宋_GB2312" w:eastAsia="仿宋_GB2312"/>
          <w:sz w:val="32"/>
          <w:szCs w:val="32"/>
          <w:lang w:eastAsia="zh-CN"/>
        </w:rPr>
        <w:t>为</w:t>
      </w:r>
      <w:r>
        <w:rPr>
          <w:rFonts w:hint="eastAsia" w:ascii="仿宋_GB2312" w:eastAsia="仿宋_GB2312"/>
          <w:sz w:val="32"/>
          <w:szCs w:val="32"/>
          <w:lang w:val="en-US" w:eastAsia="zh-CN"/>
        </w:rPr>
        <w:t>100%。</w:t>
      </w:r>
    </w:p>
    <w:p>
      <w:pPr>
        <w:ind w:firstLine="640" w:firstLineChars="200"/>
        <w:rPr>
          <w:rFonts w:hint="eastAsia" w:ascii="仿宋_GB2312" w:eastAsia="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、项目完成质量达标率</w:t>
      </w:r>
      <w:r>
        <w:rPr>
          <w:rFonts w:hint="eastAsia" w:ascii="仿宋_GB2312" w:eastAsia="仿宋_GB2312"/>
          <w:sz w:val="32"/>
          <w:szCs w:val="32"/>
          <w:lang w:eastAsia="zh-CN"/>
        </w:rPr>
        <w:t>为</w:t>
      </w:r>
      <w:r>
        <w:rPr>
          <w:rFonts w:hint="eastAsia" w:ascii="仿宋_GB2312" w:eastAsia="仿宋_GB2312"/>
          <w:sz w:val="32"/>
          <w:szCs w:val="32"/>
          <w:lang w:val="en-US" w:eastAsia="zh-CN"/>
        </w:rPr>
        <w:t>100%。</w:t>
      </w:r>
    </w:p>
    <w:p>
      <w:pPr>
        <w:ind w:firstLine="640" w:firstLineChars="200"/>
        <w:rPr>
          <w:rFonts w:hint="eastAsia" w:ascii="仿宋_GB2312" w:eastAsia="仿宋_GB2312"/>
          <w:sz w:val="32"/>
          <w:szCs w:val="32"/>
        </w:rPr>
      </w:pPr>
      <w:r>
        <w:rPr>
          <w:rFonts w:hint="eastAsia" w:ascii="仿宋_GB2312" w:eastAsia="仿宋_GB2312"/>
          <w:sz w:val="32"/>
          <w:szCs w:val="32"/>
        </w:rPr>
        <w:t>（</w:t>
      </w:r>
      <w:r>
        <w:rPr>
          <w:rFonts w:hint="eastAsia" w:ascii="仿宋_GB2312" w:eastAsia="仿宋_GB2312"/>
          <w:sz w:val="32"/>
          <w:szCs w:val="32"/>
          <w:lang w:eastAsia="zh-CN"/>
        </w:rPr>
        <w:t>二</w:t>
      </w:r>
      <w:r>
        <w:rPr>
          <w:rFonts w:hint="eastAsia" w:ascii="仿宋_GB2312" w:eastAsia="仿宋_GB2312"/>
          <w:sz w:val="32"/>
          <w:szCs w:val="32"/>
        </w:rPr>
        <w:t>）满意度指标完成情况分析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在</w:t>
      </w:r>
      <w:r>
        <w:rPr>
          <w:rFonts w:hint="eastAsia" w:ascii="仿宋_GB2312" w:eastAsia="仿宋_GB2312"/>
          <w:sz w:val="32"/>
          <w:szCs w:val="32"/>
          <w:lang w:val="en-US" w:eastAsia="zh-CN"/>
        </w:rPr>
        <w:t>2018年执法办案过程中，</w:t>
      </w:r>
      <w:r>
        <w:rPr>
          <w:rFonts w:hint="eastAsia" w:ascii="仿宋_GB2312" w:eastAsia="仿宋_GB2312"/>
          <w:sz w:val="32"/>
          <w:szCs w:val="32"/>
        </w:rPr>
        <w:t>被投诉的执法办案行为次数占执法办案总数的比率</w:t>
      </w:r>
      <w:r>
        <w:rPr>
          <w:rFonts w:hint="eastAsia" w:ascii="仿宋_GB2312" w:eastAsia="仿宋_GB2312"/>
          <w:sz w:val="32"/>
          <w:szCs w:val="32"/>
          <w:lang w:eastAsia="zh-CN"/>
        </w:rPr>
        <w:t>＜</w:t>
      </w:r>
      <w:r>
        <w:rPr>
          <w:rFonts w:hint="eastAsia" w:ascii="仿宋_GB2312" w:eastAsia="仿宋_GB2312"/>
          <w:sz w:val="32"/>
          <w:szCs w:val="32"/>
          <w:lang w:val="en-US" w:eastAsia="zh-CN"/>
        </w:rPr>
        <w:t>5%，群众对我单位的执法办案相当满意。</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根据项目执行情况和项目绩效情况，给出总得分</w:t>
      </w:r>
      <w:r>
        <w:rPr>
          <w:rFonts w:hint="eastAsia" w:ascii="仿宋_GB2312" w:eastAsia="仿宋_GB2312"/>
          <w:sz w:val="32"/>
          <w:szCs w:val="32"/>
          <w:lang w:val="en-US" w:eastAsia="zh-CN"/>
        </w:rPr>
        <w:t>98</w:t>
      </w:r>
      <w:r>
        <w:rPr>
          <w:rFonts w:hint="eastAsia" w:ascii="仿宋_GB2312" w:eastAsia="仿宋_GB2312"/>
          <w:sz w:val="32"/>
          <w:szCs w:val="32"/>
        </w:rPr>
        <w:t>，指标体系设定满分100分，项目综合绩效评价为优秀。</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rPr>
          <w:rFonts w:hint="eastAsia"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rPr>
          <w:rFonts w:hint="default" w:ascii="仿宋_GB2312" w:hAnsi="Times New Roman" w:eastAsia="仿宋_GB2312" w:cs="Times New Roman"/>
          <w:sz w:val="32"/>
          <w:szCs w:val="32"/>
          <w:lang w:val="en-US" w:eastAsia="zh-CN"/>
        </w:rPr>
      </w:pPr>
      <w:r>
        <w:rPr>
          <w:rFonts w:hint="eastAsia" w:ascii="楷体_GB2312" w:hAnsi="楷体_GB2312" w:eastAsia="楷体_GB2312"/>
          <w:sz w:val="32"/>
          <w:szCs w:val="32"/>
          <w:lang w:val="en-US" w:eastAsia="zh-CN"/>
        </w:rPr>
        <w:t xml:space="preserve"> </w:t>
      </w:r>
      <w:r>
        <w:rPr>
          <w:rFonts w:hint="eastAsia" w:ascii="仿宋_GB2312" w:hAnsi="Times New Roman" w:eastAsia="仿宋_GB2312" w:cs="Times New Roman"/>
          <w:sz w:val="32"/>
          <w:szCs w:val="32"/>
        </w:rPr>
        <w:t>监管人员业务和理论学习</w:t>
      </w:r>
      <w:r>
        <w:rPr>
          <w:rFonts w:hint="eastAsia" w:ascii="仿宋_GB2312" w:hAnsi="Times New Roman" w:eastAsia="仿宋_GB2312" w:cs="Times New Roman"/>
          <w:sz w:val="32"/>
          <w:szCs w:val="32"/>
          <w:lang w:eastAsia="zh-CN"/>
        </w:rPr>
        <w:t>还有需要进步的空间，</w:t>
      </w:r>
      <w:r>
        <w:rPr>
          <w:rFonts w:hint="eastAsia" w:ascii="仿宋_GB2312" w:hAnsi="Times New Roman" w:eastAsia="仿宋_GB2312" w:cs="Times New Roman"/>
          <w:sz w:val="32"/>
          <w:szCs w:val="32"/>
          <w:lang w:val="en-US" w:eastAsia="zh-CN"/>
        </w:rPr>
        <w:t>打假工作的艰巨性和执法办案环境的复杂性，对监管人员的业务素质提出了更高的要求。</w:t>
      </w:r>
    </w:p>
    <w:p>
      <w:pPr>
        <w:rPr>
          <w:rFonts w:hint="eastAsia" w:ascii="楷体_GB2312" w:hAnsi="楷体_GB2312" w:eastAsia="楷体_GB2312"/>
          <w:sz w:val="32"/>
          <w:szCs w:val="32"/>
        </w:rPr>
      </w:pPr>
      <w:r>
        <w:rPr>
          <w:rFonts w:hint="eastAsia" w:ascii="楷体_GB2312" w:hAnsi="楷体_GB2312" w:eastAsia="楷体_GB2312"/>
          <w:sz w:val="32"/>
          <w:szCs w:val="32"/>
        </w:rPr>
        <w:t xml:space="preserve">   （二）针对问题提出具体的改进措施或建议</w:t>
      </w:r>
    </w:p>
    <w:p>
      <w:pPr>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lang w:eastAsia="zh-CN"/>
        </w:rPr>
        <w:t>加强政治学习，增强政策敏锐性。坚持定期学习与培训制度，统一全局干部职工思想，增强进取意识、责任意识，</w:t>
      </w:r>
      <w:bookmarkStart w:id="0" w:name="_GoBack"/>
      <w:r>
        <w:rPr>
          <w:rFonts w:hint="eastAsia" w:ascii="仿宋_GB2312" w:hAnsi="Times New Roman" w:eastAsia="仿宋_GB2312" w:cs="Times New Roman"/>
          <w:sz w:val="32"/>
          <w:szCs w:val="32"/>
          <w:lang w:eastAsia="zh-CN"/>
        </w:rPr>
        <w:t>提升全局人员业务水平和工作能力。全面落实打假目标责任</w:t>
      </w:r>
      <w:bookmarkEnd w:id="0"/>
      <w:r>
        <w:rPr>
          <w:rFonts w:hint="eastAsia" w:ascii="仿宋_GB2312" w:hAnsi="Times New Roman" w:eastAsia="仿宋_GB2312" w:cs="Times New Roman"/>
          <w:sz w:val="32"/>
          <w:szCs w:val="32"/>
          <w:lang w:eastAsia="zh-CN"/>
        </w:rPr>
        <w:t>制，积极探索打假工作新思路，实施“队为基础，划</w:t>
      </w:r>
      <w:r>
        <w:rPr>
          <w:rFonts w:hint="eastAsia" w:ascii="仿宋_GB2312" w:hAnsi="Times New Roman" w:eastAsia="仿宋_GB2312" w:cs="Times New Roman"/>
          <w:sz w:val="32"/>
          <w:szCs w:val="32"/>
        </w:rPr>
        <w:t>分区域；明确职责，完善制度；突出重点，加强监管；责任到人，严格惩罚”的打假工作新机制。</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left w:w="108" w:type="dxa"/>
          <w:right w:w="108" w:type="dxa"/>
        </w:tblCellMar>
      </w:tblPr>
      <w:tblGrid>
        <w:gridCol w:w="1134"/>
        <w:gridCol w:w="1470"/>
        <w:gridCol w:w="2508"/>
        <w:gridCol w:w="1705"/>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134" w:type="dxa"/>
          </w:tcPr>
          <w:p>
            <w:pPr>
              <w:jc w:val="center"/>
              <w:rPr>
                <w:rFonts w:hint="eastAsia" w:eastAsia="宋体"/>
                <w:sz w:val="28"/>
                <w:szCs w:val="28"/>
                <w:vertAlign w:val="baseline"/>
                <w:lang w:eastAsia="zh-CN"/>
              </w:rPr>
            </w:pPr>
            <w:r>
              <w:rPr>
                <w:rFonts w:hint="eastAsia"/>
                <w:sz w:val="28"/>
                <w:szCs w:val="28"/>
                <w:vertAlign w:val="baseline"/>
                <w:lang w:eastAsia="zh-CN"/>
              </w:rPr>
              <w:t>序号</w:t>
            </w:r>
          </w:p>
        </w:tc>
        <w:tc>
          <w:tcPr>
            <w:tcW w:w="1470" w:type="dxa"/>
          </w:tcPr>
          <w:p>
            <w:pPr>
              <w:jc w:val="center"/>
              <w:rPr>
                <w:rFonts w:hint="eastAsia" w:eastAsia="宋体"/>
                <w:sz w:val="28"/>
                <w:szCs w:val="28"/>
                <w:vertAlign w:val="baseline"/>
                <w:lang w:eastAsia="zh-CN"/>
              </w:rPr>
            </w:pPr>
            <w:r>
              <w:rPr>
                <w:rFonts w:hint="eastAsia"/>
                <w:sz w:val="28"/>
                <w:szCs w:val="28"/>
                <w:vertAlign w:val="baseline"/>
                <w:lang w:eastAsia="zh-CN"/>
              </w:rPr>
              <w:t>姓名</w:t>
            </w:r>
          </w:p>
        </w:tc>
        <w:tc>
          <w:tcPr>
            <w:tcW w:w="2508" w:type="dxa"/>
          </w:tcPr>
          <w:p>
            <w:pPr>
              <w:jc w:val="center"/>
              <w:rPr>
                <w:rFonts w:hint="eastAsia" w:eastAsia="宋体"/>
                <w:sz w:val="28"/>
                <w:szCs w:val="28"/>
                <w:vertAlign w:val="baseline"/>
                <w:lang w:eastAsia="zh-CN"/>
              </w:rPr>
            </w:pPr>
            <w:r>
              <w:rPr>
                <w:rFonts w:hint="eastAsia"/>
                <w:sz w:val="28"/>
                <w:szCs w:val="28"/>
                <w:vertAlign w:val="baseline"/>
                <w:lang w:eastAsia="zh-CN"/>
              </w:rPr>
              <w:t>单位</w:t>
            </w:r>
          </w:p>
        </w:tc>
        <w:tc>
          <w:tcPr>
            <w:tcW w:w="1705" w:type="dxa"/>
          </w:tcPr>
          <w:p>
            <w:pPr>
              <w:jc w:val="center"/>
              <w:rPr>
                <w:rFonts w:hint="eastAsia" w:eastAsia="宋体"/>
                <w:sz w:val="28"/>
                <w:szCs w:val="28"/>
                <w:vertAlign w:val="baseline"/>
                <w:lang w:eastAsia="zh-CN"/>
              </w:rPr>
            </w:pPr>
            <w:r>
              <w:rPr>
                <w:rFonts w:hint="eastAsia"/>
                <w:sz w:val="28"/>
                <w:szCs w:val="28"/>
                <w:vertAlign w:val="baseline"/>
                <w:lang w:eastAsia="zh-CN"/>
              </w:rPr>
              <w:t>职务</w:t>
            </w:r>
          </w:p>
        </w:tc>
        <w:tc>
          <w:tcPr>
            <w:tcW w:w="1705" w:type="dxa"/>
          </w:tcPr>
          <w:p>
            <w:pPr>
              <w:jc w:val="center"/>
              <w:rPr>
                <w:rFonts w:hint="eastAsia" w:eastAsia="宋体"/>
                <w:sz w:val="28"/>
                <w:szCs w:val="28"/>
                <w:vertAlign w:val="baseline"/>
                <w:lang w:eastAsia="zh-CN"/>
              </w:rPr>
            </w:pPr>
            <w:r>
              <w:rPr>
                <w:rFonts w:hint="eastAsia"/>
                <w:sz w:val="28"/>
                <w:szCs w:val="28"/>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134" w:type="dxa"/>
          </w:tcPr>
          <w:p>
            <w:pPr>
              <w:jc w:val="center"/>
              <w:rPr>
                <w:rFonts w:hint="eastAsia" w:eastAsia="宋体"/>
                <w:sz w:val="28"/>
                <w:szCs w:val="28"/>
                <w:vertAlign w:val="baseline"/>
                <w:lang w:val="en-US" w:eastAsia="zh-CN"/>
              </w:rPr>
            </w:pPr>
            <w:r>
              <w:rPr>
                <w:rFonts w:hint="eastAsia"/>
                <w:sz w:val="28"/>
                <w:szCs w:val="28"/>
                <w:vertAlign w:val="baseline"/>
                <w:lang w:val="en-US" w:eastAsia="zh-CN"/>
              </w:rPr>
              <w:t>1</w:t>
            </w:r>
          </w:p>
        </w:tc>
        <w:tc>
          <w:tcPr>
            <w:tcW w:w="1470" w:type="dxa"/>
          </w:tcPr>
          <w:p>
            <w:pPr>
              <w:jc w:val="center"/>
              <w:rPr>
                <w:rFonts w:hint="eastAsia" w:eastAsia="宋体"/>
                <w:sz w:val="28"/>
                <w:szCs w:val="28"/>
                <w:vertAlign w:val="baseline"/>
                <w:lang w:eastAsia="zh-CN"/>
              </w:rPr>
            </w:pPr>
            <w:r>
              <w:rPr>
                <w:rFonts w:hint="eastAsia"/>
                <w:sz w:val="28"/>
                <w:szCs w:val="28"/>
                <w:vertAlign w:val="baseline"/>
                <w:lang w:eastAsia="zh-CN"/>
              </w:rPr>
              <w:t>王莉</w:t>
            </w:r>
          </w:p>
        </w:tc>
        <w:tc>
          <w:tcPr>
            <w:tcW w:w="2508" w:type="dxa"/>
          </w:tcPr>
          <w:p>
            <w:pPr>
              <w:jc w:val="center"/>
              <w:rPr>
                <w:rFonts w:hint="eastAsia" w:eastAsia="宋体"/>
                <w:sz w:val="28"/>
                <w:szCs w:val="28"/>
                <w:vertAlign w:val="baseline"/>
                <w:lang w:eastAsia="zh-CN"/>
              </w:rPr>
            </w:pPr>
            <w:r>
              <w:rPr>
                <w:rFonts w:hint="eastAsia"/>
                <w:sz w:val="28"/>
                <w:szCs w:val="28"/>
                <w:vertAlign w:val="baseline"/>
                <w:lang w:eastAsia="zh-CN"/>
              </w:rPr>
              <w:t>藁城区市场局</w:t>
            </w:r>
          </w:p>
        </w:tc>
        <w:tc>
          <w:tcPr>
            <w:tcW w:w="1705" w:type="dxa"/>
          </w:tcPr>
          <w:p>
            <w:pPr>
              <w:jc w:val="center"/>
              <w:rPr>
                <w:rFonts w:hint="eastAsia" w:eastAsia="宋体"/>
                <w:sz w:val="28"/>
                <w:szCs w:val="28"/>
                <w:vertAlign w:val="baseline"/>
                <w:lang w:eastAsia="zh-CN"/>
              </w:rPr>
            </w:pPr>
            <w:r>
              <w:rPr>
                <w:rFonts w:hint="eastAsia"/>
                <w:sz w:val="28"/>
                <w:szCs w:val="28"/>
                <w:vertAlign w:val="baseline"/>
                <w:lang w:eastAsia="zh-CN"/>
              </w:rPr>
              <w:t>副局长</w:t>
            </w:r>
          </w:p>
        </w:tc>
        <w:tc>
          <w:tcPr>
            <w:tcW w:w="1705" w:type="dxa"/>
          </w:tcPr>
          <w:p>
            <w:pPr>
              <w:jc w:val="center"/>
              <w:rPr>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134" w:type="dxa"/>
          </w:tcPr>
          <w:p>
            <w:pPr>
              <w:jc w:val="center"/>
              <w:rPr>
                <w:rFonts w:hint="eastAsia" w:eastAsia="宋体"/>
                <w:sz w:val="28"/>
                <w:szCs w:val="28"/>
                <w:vertAlign w:val="baseline"/>
                <w:lang w:val="en-US" w:eastAsia="zh-CN"/>
              </w:rPr>
            </w:pPr>
            <w:r>
              <w:rPr>
                <w:rFonts w:hint="eastAsia"/>
                <w:sz w:val="28"/>
                <w:szCs w:val="28"/>
                <w:vertAlign w:val="baseline"/>
                <w:lang w:val="en-US" w:eastAsia="zh-CN"/>
              </w:rPr>
              <w:t>2</w:t>
            </w:r>
          </w:p>
        </w:tc>
        <w:tc>
          <w:tcPr>
            <w:tcW w:w="1470" w:type="dxa"/>
          </w:tcPr>
          <w:p>
            <w:pPr>
              <w:jc w:val="center"/>
              <w:rPr>
                <w:rFonts w:hint="eastAsia" w:eastAsia="宋体"/>
                <w:sz w:val="28"/>
                <w:szCs w:val="28"/>
                <w:vertAlign w:val="baseline"/>
                <w:lang w:eastAsia="zh-CN"/>
              </w:rPr>
            </w:pPr>
            <w:r>
              <w:rPr>
                <w:rFonts w:hint="eastAsia"/>
                <w:sz w:val="28"/>
                <w:szCs w:val="28"/>
                <w:vertAlign w:val="baseline"/>
                <w:lang w:eastAsia="zh-CN"/>
              </w:rPr>
              <w:t>申志娟</w:t>
            </w:r>
          </w:p>
        </w:tc>
        <w:tc>
          <w:tcPr>
            <w:tcW w:w="2508" w:type="dxa"/>
          </w:tcPr>
          <w:p>
            <w:pPr>
              <w:jc w:val="center"/>
              <w:rPr>
                <w:sz w:val="28"/>
                <w:szCs w:val="28"/>
                <w:vertAlign w:val="baseline"/>
              </w:rPr>
            </w:pPr>
            <w:r>
              <w:rPr>
                <w:rFonts w:hint="eastAsia"/>
                <w:sz w:val="28"/>
                <w:szCs w:val="28"/>
                <w:vertAlign w:val="baseline"/>
                <w:lang w:eastAsia="zh-CN"/>
              </w:rPr>
              <w:t>藁城区市场局</w:t>
            </w:r>
          </w:p>
        </w:tc>
        <w:tc>
          <w:tcPr>
            <w:tcW w:w="1705" w:type="dxa"/>
          </w:tcPr>
          <w:p>
            <w:pPr>
              <w:jc w:val="center"/>
              <w:rPr>
                <w:rFonts w:hint="eastAsia" w:eastAsia="宋体"/>
                <w:sz w:val="28"/>
                <w:szCs w:val="28"/>
                <w:vertAlign w:val="baseline"/>
                <w:lang w:eastAsia="zh-CN"/>
              </w:rPr>
            </w:pPr>
            <w:r>
              <w:rPr>
                <w:rFonts w:hint="eastAsia"/>
                <w:sz w:val="28"/>
                <w:szCs w:val="28"/>
                <w:vertAlign w:val="baseline"/>
                <w:lang w:eastAsia="zh-CN"/>
              </w:rPr>
              <w:t>副主任科员</w:t>
            </w:r>
          </w:p>
        </w:tc>
        <w:tc>
          <w:tcPr>
            <w:tcW w:w="1705" w:type="dxa"/>
          </w:tcPr>
          <w:p>
            <w:pPr>
              <w:jc w:val="center"/>
              <w:rPr>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108" w:type="dxa"/>
            <w:right w:w="108" w:type="dxa"/>
          </w:tblCellMar>
        </w:tblPrEx>
        <w:tc>
          <w:tcPr>
            <w:tcW w:w="1134" w:type="dxa"/>
          </w:tcPr>
          <w:p>
            <w:pPr>
              <w:jc w:val="center"/>
              <w:rPr>
                <w:rFonts w:hint="eastAsia" w:eastAsia="宋体"/>
                <w:sz w:val="28"/>
                <w:szCs w:val="28"/>
                <w:vertAlign w:val="baseline"/>
                <w:lang w:val="en-US" w:eastAsia="zh-CN"/>
              </w:rPr>
            </w:pPr>
            <w:r>
              <w:rPr>
                <w:rFonts w:hint="eastAsia"/>
                <w:sz w:val="28"/>
                <w:szCs w:val="28"/>
                <w:vertAlign w:val="baseline"/>
                <w:lang w:val="en-US" w:eastAsia="zh-CN"/>
              </w:rPr>
              <w:t>3</w:t>
            </w:r>
          </w:p>
        </w:tc>
        <w:tc>
          <w:tcPr>
            <w:tcW w:w="1470" w:type="dxa"/>
          </w:tcPr>
          <w:p>
            <w:pPr>
              <w:jc w:val="center"/>
              <w:rPr>
                <w:rFonts w:hint="eastAsia" w:eastAsia="宋体"/>
                <w:sz w:val="28"/>
                <w:szCs w:val="28"/>
                <w:vertAlign w:val="baseline"/>
                <w:lang w:eastAsia="zh-CN"/>
              </w:rPr>
            </w:pPr>
            <w:r>
              <w:rPr>
                <w:rFonts w:hint="eastAsia"/>
                <w:sz w:val="28"/>
                <w:szCs w:val="28"/>
                <w:vertAlign w:val="baseline"/>
                <w:lang w:eastAsia="zh-CN"/>
              </w:rPr>
              <w:t>米新彦</w:t>
            </w:r>
          </w:p>
        </w:tc>
        <w:tc>
          <w:tcPr>
            <w:tcW w:w="2508" w:type="dxa"/>
          </w:tcPr>
          <w:p>
            <w:pPr>
              <w:jc w:val="center"/>
              <w:rPr>
                <w:sz w:val="28"/>
                <w:szCs w:val="28"/>
                <w:vertAlign w:val="baseline"/>
              </w:rPr>
            </w:pPr>
            <w:r>
              <w:rPr>
                <w:rFonts w:hint="eastAsia"/>
                <w:sz w:val="28"/>
                <w:szCs w:val="28"/>
                <w:vertAlign w:val="baseline"/>
                <w:lang w:eastAsia="zh-CN"/>
              </w:rPr>
              <w:t>藁城区市场局</w:t>
            </w:r>
          </w:p>
        </w:tc>
        <w:tc>
          <w:tcPr>
            <w:tcW w:w="1705" w:type="dxa"/>
          </w:tcPr>
          <w:p>
            <w:pPr>
              <w:jc w:val="center"/>
              <w:rPr>
                <w:rFonts w:hint="eastAsia" w:eastAsia="宋体"/>
                <w:sz w:val="28"/>
                <w:szCs w:val="28"/>
                <w:vertAlign w:val="baseline"/>
                <w:lang w:eastAsia="zh-CN"/>
              </w:rPr>
            </w:pPr>
            <w:r>
              <w:rPr>
                <w:rFonts w:hint="eastAsia"/>
                <w:sz w:val="28"/>
                <w:szCs w:val="28"/>
                <w:vertAlign w:val="baseline"/>
                <w:lang w:eastAsia="zh-CN"/>
              </w:rPr>
              <w:t>党组成员</w:t>
            </w:r>
          </w:p>
        </w:tc>
        <w:tc>
          <w:tcPr>
            <w:tcW w:w="1705" w:type="dxa"/>
          </w:tcPr>
          <w:p>
            <w:pPr>
              <w:jc w:val="center"/>
              <w:rPr>
                <w:sz w:val="28"/>
                <w:szCs w:val="28"/>
                <w:vertAlign w:val="baseline"/>
              </w:rPr>
            </w:pPr>
          </w:p>
        </w:tc>
      </w:tr>
    </w:tbl>
    <w:p/>
    <w:sectPr>
      <w:pgSz w:w="11906" w:h="16838"/>
      <w:pgMar w:top="1213" w:right="1800" w:bottom="110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altName w:val="Arial"/>
    <w:panose1 w:val="02070309020205020404"/>
    <w:charset w:val="01"/>
    <w:family w:val="modern"/>
    <w:pitch w:val="default"/>
    <w:sig w:usb0="E0002AFF" w:usb1="C0007843" w:usb2="00000009" w:usb3="00000000" w:csb0="400001FF" w:csb1="FFFF0000"/>
  </w:font>
  <w:font w:name="Symbol">
    <w:altName w:val="MT Extra"/>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华文楷体">
    <w:altName w:val="楷体_GB2312"/>
    <w:panose1 w:val="02010600040101010101"/>
    <w:charset w:val="86"/>
    <w:family w:val="auto"/>
    <w:pitch w:val="default"/>
    <w:sig w:usb0="00000000" w:usb1="00000000" w:usb2="00000010" w:usb3="00000000" w:csb0="0004009F" w:csb1="00000000"/>
  </w:font>
  <w:font w:name="仿宋">
    <w:altName w:val="微软雅黑"/>
    <w:panose1 w:val="00000000000000000000"/>
    <w:charset w:val="86"/>
    <w:family w:val="modern"/>
    <w:pitch w:val="default"/>
    <w:sig w:usb0="00000000" w:usb1="00000000"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Arial">
    <w:panose1 w:val="020B0604020202020204"/>
    <w:charset w:val="00"/>
    <w:family w:val="swiss"/>
    <w:pitch w:val="default"/>
    <w:sig w:usb0="00007A87" w:usb1="80000000" w:usb2="00000008" w:usb3="00000000" w:csb0="400001FF" w:csb1="FFFF0000"/>
  </w:font>
  <w:font w:name="微软雅黑">
    <w:panose1 w:val="020B0503020204020204"/>
    <w:charset w:val="86"/>
    <w:family w:val="auto"/>
    <w:pitch w:val="default"/>
    <w:sig w:usb0="80000287" w:usb1="280F3C52" w:usb2="00000016" w:usb3="00000000" w:csb0="0004001F" w:csb1="00000000"/>
  </w:font>
  <w:font w:name="MT Extra">
    <w:panose1 w:val="05050102010205020202"/>
    <w:charset w:val="00"/>
    <w:family w:val="auto"/>
    <w:pitch w:val="default"/>
    <w:sig w:usb0="8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48E3951"/>
    <w:rsid w:val="15572FF5"/>
    <w:rsid w:val="3E8427E5"/>
    <w:rsid w:val="5EE519A4"/>
    <w:rsid w:val="625E5004"/>
    <w:rsid w:val="73A663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1</TotalTime>
  <ScaleCrop>false</ScaleCrop>
  <LinksUpToDate>false</LinksUpToDate>
  <CharactersWithSpaces>822</CharactersWithSpaces>
  <Application>WPS Office_11.1.0.9145_F1E327BC-269C-435d-A152-05C5408002CA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dcterms:modified xsi:type="dcterms:W3CDTF">2019-10-23T01:31:19Z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2052-11.1.0.9145</vt:lpwstr>
  </property>
</Properties>
</file>