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九门回族乡综合办公经费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村级补助</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为</w:t>
      </w:r>
      <w:r>
        <w:rPr>
          <w:rFonts w:hint="eastAsia" w:ascii="仿宋_GB2312" w:eastAsia="仿宋_GB2312"/>
          <w:sz w:val="32"/>
          <w:szCs w:val="32"/>
        </w:rPr>
        <w:t>保障民生稳步推进，社会事业蓬勃发展</w:t>
      </w:r>
      <w:r>
        <w:rPr>
          <w:rFonts w:hint="eastAsia" w:ascii="仿宋_GB2312" w:eastAsia="仿宋_GB2312"/>
          <w:sz w:val="32"/>
          <w:szCs w:val="32"/>
          <w:lang w:eastAsia="zh-CN"/>
        </w:rPr>
        <w:t>，增强人民幸福感。</w:t>
      </w:r>
      <w:r>
        <w:rPr>
          <w:rFonts w:hint="eastAsia" w:ascii="仿宋_GB2312" w:eastAsia="仿宋_GB2312"/>
          <w:sz w:val="32"/>
          <w:szCs w:val="32"/>
        </w:rPr>
        <w:t>根据年度工作计划，统筹安排</w:t>
      </w:r>
      <w:r>
        <w:rPr>
          <w:rFonts w:hint="eastAsia" w:ascii="仿宋_GB2312" w:eastAsia="仿宋_GB2312"/>
          <w:sz w:val="32"/>
          <w:szCs w:val="32"/>
          <w:lang w:eastAsia="zh-CN"/>
        </w:rPr>
        <w:t>综合</w:t>
      </w:r>
      <w:r>
        <w:rPr>
          <w:rFonts w:hint="eastAsia" w:ascii="仿宋_GB2312" w:eastAsia="仿宋_GB2312"/>
          <w:sz w:val="32"/>
          <w:szCs w:val="32"/>
        </w:rPr>
        <w:t>工作经费，确保工作顺利开展。</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此项目为九门乡</w:t>
      </w:r>
      <w:r>
        <w:rPr>
          <w:rFonts w:hint="eastAsia" w:ascii="仿宋_GB2312" w:eastAsia="仿宋_GB2312"/>
          <w:sz w:val="32"/>
          <w:szCs w:val="32"/>
        </w:rPr>
        <w:t>日常工作开展所需经费，</w:t>
      </w:r>
      <w:r>
        <w:rPr>
          <w:rFonts w:hint="eastAsia" w:ascii="仿宋_GB2312" w:eastAsia="仿宋_GB2312"/>
          <w:sz w:val="32"/>
          <w:szCs w:val="32"/>
          <w:lang w:eastAsia="zh-CN"/>
        </w:rPr>
        <w:t>可广泛用于九门乡信访、环保、土地、宣传、党建、法律服务、租赁劳务等日常工作活动，</w:t>
      </w:r>
      <w:r>
        <w:rPr>
          <w:rFonts w:hint="eastAsia" w:ascii="仿宋_GB2312" w:eastAsia="仿宋_GB2312"/>
          <w:sz w:val="32"/>
          <w:szCs w:val="32"/>
        </w:rPr>
        <w:t>确保更好的</w:t>
      </w:r>
      <w:r>
        <w:rPr>
          <w:rFonts w:hint="eastAsia" w:ascii="仿宋_GB2312" w:eastAsia="仿宋_GB2312"/>
          <w:sz w:val="32"/>
          <w:szCs w:val="32"/>
          <w:lang w:eastAsia="zh-CN"/>
        </w:rPr>
        <w:t>保障日常工作、保障民生、</w:t>
      </w:r>
      <w:r>
        <w:rPr>
          <w:rFonts w:hint="eastAsia" w:ascii="仿宋_GB2312" w:eastAsia="仿宋_GB2312"/>
          <w:sz w:val="32"/>
          <w:szCs w:val="32"/>
        </w:rPr>
        <w:t>服务群众</w:t>
      </w:r>
      <w:r>
        <w:rPr>
          <w:rFonts w:hint="eastAsia" w:ascii="仿宋_GB2312" w:eastAsia="仿宋_GB2312"/>
          <w:sz w:val="32"/>
          <w:szCs w:val="32"/>
          <w:lang w:eastAsia="zh-CN"/>
        </w:rPr>
        <w:t>。</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eastAsia="zh-CN"/>
        </w:rPr>
        <w:t>项目总投资</w:t>
      </w:r>
      <w:r>
        <w:rPr>
          <w:rFonts w:hint="eastAsia" w:ascii="仿宋_GB2312" w:eastAsia="仿宋_GB2312"/>
          <w:sz w:val="32"/>
          <w:szCs w:val="32"/>
          <w:lang w:val="en-US" w:eastAsia="zh-CN"/>
        </w:rPr>
        <w:t>52.12万元，均为区级财政拨款</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健全管理机制，明确分工，严格控制该项资金流出方向，做好资金管理，确保资金专款专用。</w:t>
      </w:r>
      <w:r>
        <w:rPr>
          <w:rFonts w:hint="eastAsia" w:ascii="仿宋_GB2312" w:eastAsia="仿宋_GB2312"/>
          <w:sz w:val="32"/>
          <w:szCs w:val="32"/>
        </w:rPr>
        <w:t>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对管理制度健全性、资金使用合规性和财务监控有效性等情况进行分析后，根据指标体系评分标准计算分值</w:t>
      </w:r>
      <w:r>
        <w:rPr>
          <w:rFonts w:hint="eastAsia" w:ascii="仿宋_GB2312" w:eastAsia="仿宋_GB2312"/>
          <w:sz w:val="32"/>
          <w:szCs w:val="32"/>
          <w:lang w:eastAsia="zh-CN"/>
        </w:rPr>
        <w:t>为</w:t>
      </w:r>
      <w:r>
        <w:rPr>
          <w:rFonts w:hint="eastAsia" w:ascii="仿宋_GB2312" w:eastAsia="仿宋_GB2312"/>
          <w:sz w:val="32"/>
          <w:szCs w:val="32"/>
          <w:lang w:val="en-US" w:eastAsia="zh-CN"/>
        </w:rPr>
        <w:t>10分</w:t>
      </w:r>
      <w:r>
        <w:rPr>
          <w:rFonts w:hint="eastAsia" w:ascii="仿宋_GB2312" w:eastAsia="仿宋_GB2312"/>
          <w:sz w:val="32"/>
          <w:szCs w:val="32"/>
        </w:rPr>
        <w:t>。</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项目预期绩效总目标</w:t>
      </w:r>
      <w:r>
        <w:rPr>
          <w:rFonts w:hint="eastAsia" w:ascii="仿宋_GB2312" w:eastAsia="仿宋_GB2312"/>
          <w:sz w:val="32"/>
          <w:szCs w:val="32"/>
          <w:lang w:eastAsia="zh-CN"/>
        </w:rPr>
        <w:t>为保证全年专项资金全部用于九门乡日常经费支出并严格遵守财务制度规范，保证九门乡政府运行，做好政务工作、党建工作、保障民生、服务群众。</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通过对本项目全年支出情况、社会影响力及群众满意度按照规定的评价程序和方法进行核实评价</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收集相关资料数据进行核实查看，并对项目进行走访调查，现场查看，了解社会影响及群众满意度。</w:t>
      </w:r>
    </w:p>
    <w:p>
      <w:pPr>
        <w:numPr>
          <w:ilvl w:val="0"/>
          <w:numId w:val="3"/>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4"/>
        </w:numPr>
        <w:ind w:left="736" w:leftChars="0" w:firstLine="0" w:firstLine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资金投入时效性（10分）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资金到位率=实际发放资金/应发放资金（5分）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资金及时率=今年实际发放资金/今年应发放资金（5分）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2、项目实施过程</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（1）业务管理情况（10分）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是否已制定或具有相应的业务管理制度（2分）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业务管理制度是否合法合规且完整（2分）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是否遵循相关法律法规和业务管理规定（2分）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业务管理是否到位（2分）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监督监察是否到位（2分）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3、财务管理情况（10分）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是否有相应的项目资金管理办法（2分）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项目资金管理办法是否合法合规（2分）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资金拨付是否有完整的审批手续（2分）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资金拨付是否有完整的支付凭证（2分）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是否具有相应的财务监督管理机制（2分）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4、项目产出情况（30分）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完成及时率（10分）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质量达标率（10分）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支出是否合规合法，不留问题（10分）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5、效益指标情况（20分）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经济效益（5分）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社会效益（5分）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生态效益（5分）</w:t>
      </w:r>
    </w:p>
    <w:p>
      <w:pPr>
        <w:numPr>
          <w:ilvl w:val="0"/>
          <w:numId w:val="0"/>
        </w:numPr>
        <w:ind w:left="736" w:leftChars="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可持续影响（5分）</w:t>
      </w:r>
    </w:p>
    <w:p>
      <w:pPr>
        <w:numPr>
          <w:ilvl w:val="0"/>
          <w:numId w:val="0"/>
        </w:numPr>
        <w:ind w:left="736" w:leftChars="0"/>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6、满意度情况（20分）</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w:t>
      </w:r>
      <w:r>
        <w:rPr>
          <w:rFonts w:hint="eastAsia" w:ascii="仿宋_GB2312" w:eastAsia="仿宋_GB2312"/>
          <w:sz w:val="32"/>
          <w:szCs w:val="32"/>
        </w:rPr>
        <w:t>项目</w:t>
      </w:r>
      <w:r>
        <w:rPr>
          <w:rFonts w:hint="eastAsia" w:ascii="仿宋_GB2312" w:eastAsia="仿宋_GB2312"/>
          <w:sz w:val="32"/>
          <w:szCs w:val="32"/>
          <w:lang w:eastAsia="zh-CN"/>
        </w:rPr>
        <w:t>已有本年度完成，</w:t>
      </w:r>
      <w:r>
        <w:rPr>
          <w:rFonts w:hint="eastAsia" w:ascii="仿宋_GB2312" w:eastAsia="仿宋_GB2312"/>
          <w:sz w:val="32"/>
          <w:szCs w:val="32"/>
        </w:rPr>
        <w:t>实际完成率</w:t>
      </w:r>
      <w:r>
        <w:rPr>
          <w:rFonts w:hint="eastAsia" w:ascii="仿宋_GB2312" w:eastAsia="仿宋_GB2312"/>
          <w:sz w:val="32"/>
          <w:szCs w:val="32"/>
          <w:lang w:eastAsia="zh-CN"/>
        </w:rPr>
        <w:t>为</w:t>
      </w:r>
      <w:r>
        <w:rPr>
          <w:rFonts w:hint="eastAsia" w:ascii="仿宋_GB2312" w:eastAsia="仿宋_GB2312"/>
          <w:sz w:val="32"/>
          <w:szCs w:val="32"/>
          <w:lang w:val="en-US" w:eastAsia="zh-CN"/>
        </w:rPr>
        <w:t>100%，得分10分，业务管理情况得分为9分，财务管理情况得分为10分。项目产出得分29分。</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根据</w:t>
      </w:r>
      <w:r>
        <w:rPr>
          <w:rFonts w:hint="eastAsia" w:ascii="仿宋_GB2312" w:eastAsia="仿宋_GB2312"/>
          <w:sz w:val="32"/>
          <w:szCs w:val="32"/>
        </w:rPr>
        <w:t>项目实施的经济效益分析</w:t>
      </w:r>
      <w:r>
        <w:rPr>
          <w:rFonts w:hint="eastAsia" w:ascii="仿宋_GB2312" w:eastAsia="仿宋_GB2312"/>
          <w:sz w:val="32"/>
          <w:szCs w:val="32"/>
          <w:lang w:eastAsia="zh-CN"/>
        </w:rPr>
        <w:t>、</w:t>
      </w:r>
      <w:r>
        <w:rPr>
          <w:rFonts w:hint="eastAsia" w:ascii="仿宋_GB2312" w:eastAsia="仿宋_GB2312"/>
          <w:sz w:val="32"/>
          <w:szCs w:val="32"/>
        </w:rPr>
        <w:t>项目实施的社会效益分析</w:t>
      </w:r>
      <w:r>
        <w:rPr>
          <w:rFonts w:hint="eastAsia" w:ascii="仿宋_GB2312" w:eastAsia="仿宋_GB2312"/>
          <w:sz w:val="32"/>
          <w:szCs w:val="32"/>
          <w:lang w:eastAsia="zh-CN"/>
        </w:rPr>
        <w:t>、</w:t>
      </w:r>
      <w:r>
        <w:rPr>
          <w:rFonts w:hint="eastAsia" w:ascii="仿宋_GB2312" w:eastAsia="仿宋_GB2312"/>
          <w:sz w:val="32"/>
          <w:szCs w:val="32"/>
        </w:rPr>
        <w:t>项目实施的生态效益分析</w:t>
      </w:r>
      <w:r>
        <w:rPr>
          <w:rFonts w:hint="eastAsia" w:ascii="仿宋_GB2312" w:eastAsia="仿宋_GB2312"/>
          <w:sz w:val="32"/>
          <w:szCs w:val="32"/>
          <w:lang w:eastAsia="zh-CN"/>
        </w:rPr>
        <w:t>以及</w:t>
      </w:r>
      <w:r>
        <w:rPr>
          <w:rFonts w:hint="eastAsia" w:ascii="仿宋_GB2312" w:eastAsia="仿宋_GB2312"/>
          <w:sz w:val="32"/>
          <w:szCs w:val="32"/>
        </w:rPr>
        <w:t>项目实施的可持续性影响分析</w:t>
      </w:r>
      <w:r>
        <w:rPr>
          <w:rFonts w:hint="eastAsia" w:ascii="仿宋_GB2312" w:eastAsia="仿宋_GB2312"/>
          <w:sz w:val="32"/>
          <w:szCs w:val="32"/>
          <w:lang w:eastAsia="zh-CN"/>
        </w:rPr>
        <w:t>，综合得分为</w:t>
      </w:r>
      <w:r>
        <w:rPr>
          <w:rFonts w:hint="eastAsia" w:ascii="仿宋_GB2312" w:eastAsia="仿宋_GB2312"/>
          <w:sz w:val="32"/>
          <w:szCs w:val="32"/>
          <w:lang w:val="en-US" w:eastAsia="zh-CN"/>
        </w:rPr>
        <w:t>17分</w:t>
      </w:r>
    </w:p>
    <w:p>
      <w:pPr>
        <w:numPr>
          <w:ilvl w:val="0"/>
          <w:numId w:val="0"/>
        </w:numPr>
        <w:ind w:leftChars="198"/>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eastAsia="zh-CN"/>
        </w:rPr>
        <w:t>群众满意度得分为</w:t>
      </w:r>
      <w:r>
        <w:rPr>
          <w:rFonts w:hint="eastAsia" w:ascii="仿宋_GB2312" w:eastAsia="仿宋_GB2312"/>
          <w:sz w:val="32"/>
          <w:szCs w:val="32"/>
          <w:lang w:val="en-US" w:eastAsia="zh-CN"/>
        </w:rPr>
        <w:t>18分</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得</w:t>
      </w:r>
      <w:r>
        <w:rPr>
          <w:rFonts w:hint="eastAsia" w:ascii="仿宋_GB2312" w:eastAsia="仿宋_GB2312"/>
          <w:sz w:val="32"/>
          <w:szCs w:val="32"/>
        </w:rPr>
        <w:t>出总得分</w:t>
      </w:r>
      <w:r>
        <w:rPr>
          <w:rFonts w:hint="eastAsia" w:ascii="仿宋_GB2312" w:eastAsia="仿宋_GB2312"/>
          <w:sz w:val="32"/>
          <w:szCs w:val="32"/>
          <w:lang w:eastAsia="zh-CN"/>
        </w:rPr>
        <w:t>为</w:t>
      </w:r>
      <w:r>
        <w:rPr>
          <w:rFonts w:hint="eastAsia" w:ascii="仿宋_GB2312" w:eastAsia="仿宋_GB2312"/>
          <w:sz w:val="32"/>
          <w:szCs w:val="32"/>
          <w:lang w:val="en-US" w:eastAsia="zh-CN"/>
        </w:rPr>
        <w:t>93分</w:t>
      </w:r>
      <w:r>
        <w:rPr>
          <w:rFonts w:hint="eastAsia" w:ascii="仿宋_GB2312" w:eastAsia="仿宋_GB2312"/>
          <w:sz w:val="32"/>
          <w:szCs w:val="32"/>
        </w:rPr>
        <w:t>，指标体系设定满分100分，得出综合评价结论和项目综合绩效评价等级为优秀。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lang w:eastAsia="zh-CN"/>
        </w:rPr>
        <w:t>五</w:t>
      </w: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tcPr>
          <w:p>
            <w:pPr>
              <w:jc w:val="center"/>
              <w:rPr>
                <w:rFonts w:hint="eastAsia" w:eastAsia="宋体"/>
                <w:vertAlign w:val="baseline"/>
                <w:lang w:eastAsia="zh-CN"/>
              </w:rPr>
            </w:pPr>
            <w:r>
              <w:rPr>
                <w:rFonts w:hint="eastAsia"/>
                <w:vertAlign w:val="baseline"/>
                <w:lang w:eastAsia="zh-CN"/>
              </w:rPr>
              <w:t>姓名</w:t>
            </w:r>
          </w:p>
        </w:tc>
        <w:tc>
          <w:tcPr>
            <w:tcW w:w="2130" w:type="dxa"/>
          </w:tcPr>
          <w:p>
            <w:pPr>
              <w:jc w:val="center"/>
              <w:rPr>
                <w:rFonts w:hint="eastAsia" w:eastAsia="宋体"/>
                <w:vertAlign w:val="baseline"/>
                <w:lang w:eastAsia="zh-CN"/>
              </w:rPr>
            </w:pPr>
            <w:r>
              <w:rPr>
                <w:rFonts w:hint="eastAsia"/>
                <w:vertAlign w:val="baseline"/>
                <w:lang w:eastAsia="zh-CN"/>
              </w:rPr>
              <w:t>单位</w:t>
            </w:r>
          </w:p>
        </w:tc>
        <w:tc>
          <w:tcPr>
            <w:tcW w:w="2131" w:type="dxa"/>
          </w:tcPr>
          <w:p>
            <w:pPr>
              <w:jc w:val="center"/>
              <w:rPr>
                <w:rFonts w:hint="eastAsia" w:eastAsia="宋体"/>
                <w:vertAlign w:val="baseline"/>
                <w:lang w:eastAsia="zh-CN"/>
              </w:rPr>
            </w:pPr>
            <w:r>
              <w:rPr>
                <w:rFonts w:hint="eastAsia"/>
                <w:vertAlign w:val="baseline"/>
                <w:lang w:eastAsia="zh-CN"/>
              </w:rPr>
              <w:t>职务</w:t>
            </w:r>
          </w:p>
        </w:tc>
        <w:tc>
          <w:tcPr>
            <w:tcW w:w="2131" w:type="dxa"/>
          </w:tcPr>
          <w:p>
            <w:pPr>
              <w:jc w:val="center"/>
              <w:rPr>
                <w:rFonts w:hint="eastAsia" w:eastAsia="宋体"/>
                <w:vertAlign w:val="baseline"/>
                <w:lang w:eastAsia="zh-CN"/>
              </w:rPr>
            </w:pPr>
            <w:r>
              <w:rPr>
                <w:rFonts w:hint="eastAsia"/>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赵亚波</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乡长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jc w:val="center"/>
              <w:rPr>
                <w:vertAlign w:val="baseline"/>
              </w:rPr>
            </w:pPr>
            <w:r>
              <w:rPr>
                <w:rFonts w:hint="eastAsia"/>
                <w:vertAlign w:val="baseline"/>
                <w:lang w:eastAsia="zh-CN"/>
              </w:rPr>
              <w:t>张立涛</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武装部长</w:t>
            </w:r>
          </w:p>
        </w:tc>
        <w:tc>
          <w:tcPr>
            <w:tcW w:w="2131" w:type="dxa"/>
          </w:tcPr>
          <w:p>
            <w:pPr>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130" w:type="dxa"/>
            <w:vAlign w:val="top"/>
          </w:tcPr>
          <w:p>
            <w:pPr>
              <w:jc w:val="center"/>
              <w:rPr>
                <w:vertAlign w:val="baseline"/>
              </w:rPr>
            </w:pPr>
            <w:bookmarkStart w:id="0" w:name="_GoBack" w:colFirst="0" w:colLast="2"/>
            <w:r>
              <w:rPr>
                <w:rFonts w:hint="eastAsia"/>
                <w:vertAlign w:val="baseline"/>
                <w:lang w:eastAsia="zh-CN"/>
              </w:rPr>
              <w:t>刘克强</w:t>
            </w:r>
          </w:p>
        </w:tc>
        <w:tc>
          <w:tcPr>
            <w:tcW w:w="2130" w:type="dxa"/>
            <w:vAlign w:val="top"/>
          </w:tcPr>
          <w:p>
            <w:pPr>
              <w:jc w:val="center"/>
              <w:rPr>
                <w:vertAlign w:val="baseline"/>
              </w:rPr>
            </w:pPr>
            <w:r>
              <w:rPr>
                <w:rFonts w:hint="eastAsia"/>
                <w:vertAlign w:val="baseline"/>
                <w:lang w:eastAsia="zh-CN"/>
              </w:rPr>
              <w:t>九门回族乡人民政府</w:t>
            </w:r>
          </w:p>
        </w:tc>
        <w:tc>
          <w:tcPr>
            <w:tcW w:w="2131" w:type="dxa"/>
            <w:vAlign w:val="top"/>
          </w:tcPr>
          <w:p>
            <w:pPr>
              <w:jc w:val="center"/>
              <w:rPr>
                <w:vertAlign w:val="baseline"/>
              </w:rPr>
            </w:pPr>
            <w:r>
              <w:rPr>
                <w:rFonts w:hint="eastAsia"/>
                <w:vertAlign w:val="baseline"/>
                <w:lang w:eastAsia="zh-CN"/>
              </w:rPr>
              <w:t>科员</w:t>
            </w:r>
          </w:p>
        </w:tc>
        <w:tc>
          <w:tcPr>
            <w:tcW w:w="2131" w:type="dxa"/>
          </w:tcPr>
          <w:p>
            <w:pPr>
              <w:jc w:val="center"/>
              <w:rPr>
                <w:vertAlign w:val="baseline"/>
              </w:rPr>
            </w:pPr>
          </w:p>
        </w:tc>
      </w:tr>
      <w:bookmarkEnd w:id="0"/>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0000000000000000000"/>
    <w:charset w:val="86"/>
    <w:family w:val="modern"/>
    <w:pitch w:val="default"/>
    <w:sig w:usb0="00000000" w:usb1="00000000"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96C658"/>
    <w:multiLevelType w:val="singleLevel"/>
    <w:tmpl w:val="B596C658"/>
    <w:lvl w:ilvl="0" w:tentative="0">
      <w:start w:val="2"/>
      <w:numFmt w:val="chineseCounting"/>
      <w:suff w:val="nothing"/>
      <w:lvlText w:val="（%1）"/>
      <w:lvlJc w:val="left"/>
      <w:rPr>
        <w:rFonts w:hint="eastAsia"/>
      </w:rPr>
    </w:lvl>
  </w:abstractNum>
  <w:abstractNum w:abstractNumId="1">
    <w:nsid w:val="C1667424"/>
    <w:multiLevelType w:val="singleLevel"/>
    <w:tmpl w:val="C1667424"/>
    <w:lvl w:ilvl="0" w:tentative="0">
      <w:start w:val="1"/>
      <w:numFmt w:val="decimal"/>
      <w:suff w:val="nothing"/>
      <w:lvlText w:val="%1、"/>
      <w:lvlJc w:val="left"/>
      <w:pPr>
        <w:ind w:left="736" w:leftChars="0" w:firstLine="0" w:firstLineChars="0"/>
      </w:pPr>
    </w:lvl>
  </w:abstractNum>
  <w:abstractNum w:abstractNumId="2">
    <w:nsid w:val="36B2BF91"/>
    <w:multiLevelType w:val="singleLevel"/>
    <w:tmpl w:val="36B2BF91"/>
    <w:lvl w:ilvl="0" w:tentative="0">
      <w:start w:val="2"/>
      <w:numFmt w:val="decimal"/>
      <w:lvlText w:val="%1."/>
      <w:lvlJc w:val="left"/>
      <w:pPr>
        <w:tabs>
          <w:tab w:val="left" w:pos="312"/>
        </w:tabs>
        <w:ind w:left="800" w:leftChars="0" w:firstLine="0" w:firstLineChars="0"/>
      </w:pPr>
    </w:lvl>
  </w:abstractNum>
  <w:abstractNum w:abstractNumId="3">
    <w:nsid w:val="62A4B407"/>
    <w:multiLevelType w:val="singleLevel"/>
    <w:tmpl w:val="62A4B407"/>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FCF753B"/>
    <w:rsid w:val="239223E7"/>
    <w:rsid w:val="26780261"/>
    <w:rsid w:val="56330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2020-05-26T00:59:38Z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