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_GB2312" w:hAnsi="宋体" w:eastAsia="仿宋_GB2312"/>
          <w:sz w:val="32"/>
          <w:szCs w:val="32"/>
        </w:rPr>
      </w:pPr>
    </w:p>
    <w:p>
      <w:pPr>
        <w:spacing w:line="360" w:lineRule="auto"/>
        <w:jc w:val="center"/>
        <w:rPr>
          <w:rFonts w:hint="eastAsia" w:ascii="宋体" w:hAnsi="宋体"/>
          <w:sz w:val="36"/>
          <w:szCs w:val="36"/>
        </w:rPr>
      </w:pPr>
      <w:r>
        <w:rPr>
          <w:rFonts w:hint="eastAsia" w:ascii="宋体" w:hAnsi="宋体"/>
          <w:sz w:val="36"/>
          <w:szCs w:val="36"/>
          <w:lang w:eastAsia="zh-CN"/>
        </w:rPr>
        <w:t>藁城区工商联执委活动经费</w:t>
      </w:r>
      <w:r>
        <w:rPr>
          <w:rFonts w:hint="eastAsia" w:ascii="宋体" w:hAnsi="宋体"/>
          <w:sz w:val="36"/>
          <w:szCs w:val="36"/>
        </w:rPr>
        <w:t>项目</w:t>
      </w:r>
      <w:r>
        <w:rPr>
          <w:rFonts w:hint="eastAsia" w:ascii="宋体" w:hAnsi="宋体"/>
          <w:sz w:val="36"/>
          <w:szCs w:val="36"/>
          <w:lang w:val="en-US" w:eastAsia="zh-CN"/>
        </w:rPr>
        <w:t>2018</w:t>
      </w:r>
      <w:r>
        <w:rPr>
          <w:rFonts w:hint="eastAsia" w:ascii="宋体" w:hAnsi="宋体"/>
          <w:sz w:val="36"/>
          <w:szCs w:val="36"/>
        </w:rPr>
        <w:t>年度绩效</w:t>
      </w:r>
    </w:p>
    <w:p>
      <w:pPr>
        <w:spacing w:line="360" w:lineRule="auto"/>
        <w:jc w:val="center"/>
        <w:rPr>
          <w:rFonts w:hint="eastAsia" w:ascii="仿宋" w:hAnsi="仿宋" w:eastAsia="仿宋" w:cs="仿宋"/>
          <w:sz w:val="32"/>
          <w:szCs w:val="32"/>
        </w:rPr>
      </w:pPr>
      <w:r>
        <w:rPr>
          <w:rFonts w:hint="eastAsia" w:ascii="宋体" w:hAnsi="宋体"/>
          <w:sz w:val="36"/>
          <w:szCs w:val="36"/>
        </w:rPr>
        <w:t>自评报告</w:t>
      </w:r>
    </w:p>
    <w:p>
      <w:pPr>
        <w:spacing w:line="360" w:lineRule="auto"/>
        <w:jc w:val="center"/>
        <w:rPr>
          <w:rFonts w:hint="eastAsia" w:ascii="华文楷体" w:eastAsia="华文楷体"/>
          <w:sz w:val="32"/>
          <w:szCs w:val="32"/>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根据《藁城区财政局关于开展财政专项资金部门绩效自评价及财政重点绩效评价的工作方案》（藁财【2019】</w:t>
      </w:r>
      <w:r>
        <w:rPr>
          <w:rFonts w:hint="eastAsia" w:ascii="仿宋_GB2312" w:eastAsia="仿宋_GB2312"/>
          <w:sz w:val="32"/>
          <w:szCs w:val="32"/>
          <w:lang w:val="en-US" w:eastAsia="zh-CN"/>
        </w:rPr>
        <w:t>19</w:t>
      </w:r>
      <w:r>
        <w:rPr>
          <w:rFonts w:hint="eastAsia" w:ascii="仿宋_GB2312" w:eastAsia="仿宋_GB2312"/>
          <w:sz w:val="32"/>
          <w:szCs w:val="32"/>
        </w:rPr>
        <w:t xml:space="preserve"> 号），遵循“科学性、规范性、客观性和公正性”的原则，对</w:t>
      </w:r>
      <w:r>
        <w:rPr>
          <w:rFonts w:hint="eastAsia" w:ascii="仿宋_GB2312" w:eastAsia="仿宋_GB2312"/>
          <w:sz w:val="32"/>
          <w:szCs w:val="32"/>
          <w:lang w:eastAsia="zh-CN"/>
        </w:rPr>
        <w:t>执委活动经费</w:t>
      </w:r>
      <w:r>
        <w:rPr>
          <w:rFonts w:hint="eastAsia" w:ascii="仿宋_GB2312" w:eastAsia="仿宋_GB2312"/>
          <w:sz w:val="32"/>
          <w:szCs w:val="32"/>
        </w:rPr>
        <w:t>项目实施了绩效评价，形成本评价报告。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1.项目实施单位及项目立项等基本情况；</w:t>
      </w:r>
    </w:p>
    <w:p>
      <w:pPr>
        <w:adjustRightInd w:val="0"/>
        <w:snapToGrid w:val="0"/>
        <w:spacing w:line="360" w:lineRule="auto"/>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工商联2018年项目：执委活动经费。</w:t>
      </w:r>
    </w:p>
    <w:p>
      <w:pPr>
        <w:numPr>
          <w:ilvl w:val="0"/>
          <w:numId w:val="1"/>
        </w:numPr>
        <w:adjustRightInd w:val="0"/>
        <w:snapToGrid w:val="0"/>
        <w:spacing w:line="360" w:lineRule="auto"/>
        <w:ind w:left="800" w:leftChars="0" w:firstLine="0" w:firstLineChars="0"/>
        <w:rPr>
          <w:rFonts w:hint="eastAsia" w:ascii="仿宋_GB2312" w:eastAsia="仿宋_GB2312"/>
          <w:sz w:val="32"/>
          <w:szCs w:val="32"/>
        </w:rPr>
      </w:pPr>
      <w:r>
        <w:rPr>
          <w:rFonts w:hint="eastAsia" w:ascii="仿宋_GB2312" w:eastAsia="仿宋_GB2312"/>
          <w:sz w:val="32"/>
          <w:szCs w:val="32"/>
        </w:rPr>
        <w:t>项目主要实施内容和范围；</w:t>
      </w:r>
    </w:p>
    <w:p>
      <w:pPr>
        <w:adjustRightInd w:val="0"/>
        <w:snapToGrid w:val="0"/>
        <w:spacing w:line="360" w:lineRule="auto"/>
        <w:ind w:left="800"/>
        <w:rPr>
          <w:rFonts w:hint="eastAsia" w:ascii="仿宋_GB2312" w:eastAsia="仿宋_GB2312"/>
          <w:sz w:val="32"/>
          <w:szCs w:val="32"/>
          <w:lang w:eastAsia="zh-CN"/>
        </w:rPr>
      </w:pPr>
      <w:r>
        <w:rPr>
          <w:rFonts w:hint="eastAsia" w:ascii="仿宋_GB2312" w:eastAsia="仿宋_GB2312"/>
          <w:sz w:val="32"/>
          <w:szCs w:val="32"/>
        </w:rPr>
        <w:t>预算执行</w:t>
      </w:r>
      <w:r>
        <w:rPr>
          <w:rFonts w:hint="eastAsia" w:ascii="仿宋_GB2312" w:eastAsia="仿宋_GB2312"/>
          <w:sz w:val="32"/>
          <w:szCs w:val="32"/>
          <w:lang w:eastAsia="zh-CN"/>
        </w:rPr>
        <w:t>工商联执委会培训、学习、调研、办公等工</w:t>
      </w:r>
    </w:p>
    <w:p>
      <w:pPr>
        <w:adjustRightInd w:val="0"/>
        <w:snapToGrid w:val="0"/>
        <w:spacing w:line="360" w:lineRule="auto"/>
        <w:rPr>
          <w:rFonts w:hint="default" w:ascii="仿宋_GB2312" w:eastAsia="仿宋_GB2312"/>
          <w:sz w:val="32"/>
          <w:szCs w:val="32"/>
          <w:lang w:val="en-US" w:eastAsia="zh-CN"/>
        </w:rPr>
      </w:pPr>
      <w:r>
        <w:rPr>
          <w:rFonts w:hint="eastAsia" w:ascii="仿宋_GB2312" w:hAnsi="仿宋_GB2312" w:eastAsia="仿宋_GB2312" w:cs="仿宋_GB2312"/>
          <w:sz w:val="32"/>
          <w:szCs w:val="32"/>
          <w:lang w:eastAsia="zh-CN"/>
        </w:rPr>
        <w:t>作</w:t>
      </w:r>
      <w:r>
        <w:rPr>
          <w:rFonts w:hint="eastAsia" w:ascii="仿宋_GB2312" w:eastAsia="仿宋_GB2312"/>
          <w:sz w:val="32"/>
          <w:szCs w:val="32"/>
        </w:rPr>
        <w:t>。</w:t>
      </w:r>
    </w:p>
    <w:p>
      <w:pPr>
        <w:numPr>
          <w:ilvl w:val="0"/>
          <w:numId w:val="1"/>
        </w:numPr>
        <w:adjustRightInd w:val="0"/>
        <w:snapToGrid w:val="0"/>
        <w:spacing w:line="360" w:lineRule="auto"/>
        <w:ind w:left="800" w:leftChars="0" w:firstLine="0" w:firstLineChars="0"/>
        <w:rPr>
          <w:rFonts w:hint="eastAsia" w:ascii="仿宋_GB2312" w:eastAsia="仿宋_GB2312"/>
          <w:sz w:val="32"/>
          <w:szCs w:val="32"/>
        </w:rPr>
      </w:pPr>
      <w:r>
        <w:rPr>
          <w:rFonts w:hint="eastAsia" w:ascii="仿宋_GB2312" w:eastAsia="仿宋_GB2312"/>
          <w:sz w:val="32"/>
          <w:szCs w:val="32"/>
        </w:rPr>
        <w:t>项目资金投入情况</w:t>
      </w:r>
      <w:bookmarkStart w:id="0" w:name="_GoBack"/>
      <w:bookmarkEnd w:id="0"/>
    </w:p>
    <w:p>
      <w:pPr>
        <w:adjustRightInd w:val="0"/>
        <w:snapToGrid w:val="0"/>
        <w:spacing w:line="360" w:lineRule="auto"/>
        <w:ind w:left="800"/>
        <w:rPr>
          <w:rFonts w:hint="eastAsia" w:ascii="仿宋_GB2312" w:eastAsia="仿宋_GB2312"/>
          <w:sz w:val="32"/>
          <w:szCs w:val="32"/>
          <w:lang w:eastAsia="zh-CN"/>
        </w:rPr>
      </w:pPr>
      <w:r>
        <w:rPr>
          <w:rFonts w:hint="eastAsia" w:ascii="仿宋_GB2312" w:eastAsia="仿宋_GB2312"/>
          <w:sz w:val="32"/>
          <w:szCs w:val="32"/>
        </w:rPr>
        <w:t>财政共拨入资金</w:t>
      </w:r>
      <w:r>
        <w:rPr>
          <w:rFonts w:hint="eastAsia" w:ascii="仿宋_GB2312" w:eastAsia="仿宋_GB2312"/>
          <w:sz w:val="32"/>
          <w:szCs w:val="32"/>
          <w:lang w:val="en-US" w:eastAsia="zh-CN"/>
        </w:rPr>
        <w:t>5</w:t>
      </w:r>
      <w:r>
        <w:rPr>
          <w:rFonts w:hint="eastAsia" w:ascii="仿宋_GB2312" w:eastAsia="仿宋_GB2312"/>
          <w:sz w:val="32"/>
          <w:szCs w:val="32"/>
        </w:rPr>
        <w:t>万元，作为</w:t>
      </w:r>
      <w:r>
        <w:rPr>
          <w:rFonts w:hint="eastAsia" w:ascii="仿宋_GB2312" w:eastAsia="仿宋_GB2312"/>
          <w:sz w:val="32"/>
          <w:szCs w:val="32"/>
          <w:lang w:eastAsia="zh-CN"/>
        </w:rPr>
        <w:t>工商联执委活动</w:t>
      </w:r>
      <w:r>
        <w:rPr>
          <w:rFonts w:hint="eastAsia" w:ascii="仿宋_GB2312" w:eastAsia="仿宋_GB2312"/>
          <w:sz w:val="32"/>
          <w:szCs w:val="32"/>
        </w:rPr>
        <w:t>经费</w:t>
      </w:r>
      <w:r>
        <w:rPr>
          <w:rFonts w:hint="eastAsia" w:ascii="仿宋_GB2312" w:eastAsia="仿宋_GB2312"/>
          <w:sz w:val="32"/>
          <w:szCs w:val="32"/>
          <w:lang w:eastAsia="zh-CN"/>
        </w:rPr>
        <w:t>；</w:t>
      </w:r>
    </w:p>
    <w:p>
      <w:pPr>
        <w:adjustRightInd w:val="0"/>
        <w:snapToGrid w:val="0"/>
        <w:spacing w:line="360" w:lineRule="auto"/>
        <w:rPr>
          <w:rFonts w:hint="default" w:ascii="仿宋_GB2312" w:eastAsia="仿宋_GB2312"/>
          <w:sz w:val="32"/>
          <w:szCs w:val="32"/>
          <w:lang w:val="en-US" w:eastAsia="zh-CN"/>
        </w:rPr>
      </w:pPr>
      <w:r>
        <w:rPr>
          <w:rFonts w:hint="eastAsia" w:ascii="仿宋" w:hAnsi="仿宋" w:eastAsia="仿宋" w:cs="Arial"/>
          <w:color w:val="000000"/>
          <w:sz w:val="32"/>
          <w:szCs w:val="32"/>
        </w:rPr>
        <w:t>资金来源为一般公共预算。</w:t>
      </w:r>
    </w:p>
    <w:p>
      <w:pPr>
        <w:adjustRightInd w:val="0"/>
        <w:snapToGrid w:val="0"/>
        <w:spacing w:line="360" w:lineRule="auto"/>
        <w:ind w:firstLine="800" w:firstLineChars="250"/>
        <w:rPr>
          <w:rFonts w:hint="eastAsia" w:ascii="仿宋_GB2312" w:eastAsia="仿宋_GB2312"/>
          <w:sz w:val="32"/>
          <w:szCs w:val="32"/>
        </w:rPr>
      </w:pPr>
      <w:r>
        <w:rPr>
          <w:rFonts w:hint="eastAsia" w:ascii="仿宋_GB2312" w:eastAsia="仿宋_GB2312"/>
          <w:sz w:val="32"/>
          <w:szCs w:val="32"/>
        </w:rPr>
        <w:t>4.项目实施过程</w:t>
      </w:r>
    </w:p>
    <w:p>
      <w:pPr>
        <w:ind w:firstLine="640" w:firstLineChars="200"/>
        <w:rPr>
          <w:rFonts w:hint="eastAsia" w:ascii="仿宋_GB2312" w:eastAsia="仿宋_GB2312"/>
          <w:sz w:val="32"/>
          <w:szCs w:val="32"/>
        </w:rPr>
      </w:pPr>
      <w:r>
        <w:rPr>
          <w:rFonts w:hint="eastAsia" w:ascii="仿宋_GB2312" w:eastAsia="仿宋_GB2312"/>
          <w:sz w:val="32"/>
          <w:szCs w:val="32"/>
        </w:rPr>
        <w:t>（1）业务管理情况分析。</w:t>
      </w:r>
    </w:p>
    <w:p>
      <w:pPr>
        <w:ind w:firstLine="640" w:firstLineChars="200"/>
        <w:rPr>
          <w:rFonts w:hint="eastAsia" w:ascii="仿宋_GB2312" w:eastAsia="仿宋_GB2312"/>
          <w:sz w:val="32"/>
          <w:szCs w:val="32"/>
        </w:rPr>
      </w:pPr>
      <w:r>
        <w:rPr>
          <w:rFonts w:hint="eastAsia" w:ascii="仿宋_GB2312" w:eastAsia="仿宋_GB2312"/>
          <w:sz w:val="32"/>
          <w:szCs w:val="32"/>
          <w:lang w:eastAsia="zh-CN"/>
        </w:rPr>
        <w:t>我单位</w:t>
      </w:r>
      <w:r>
        <w:rPr>
          <w:rFonts w:hint="eastAsia" w:ascii="仿宋_GB2312" w:eastAsia="仿宋_GB2312"/>
          <w:sz w:val="32"/>
          <w:szCs w:val="32"/>
        </w:rPr>
        <w:t>年初制定2018年</w:t>
      </w:r>
      <w:r>
        <w:rPr>
          <w:rFonts w:hint="eastAsia" w:ascii="仿宋_GB2312" w:eastAsia="仿宋_GB2312"/>
          <w:sz w:val="32"/>
          <w:szCs w:val="32"/>
          <w:lang w:eastAsia="zh-CN"/>
        </w:rPr>
        <w:t>执委活动</w:t>
      </w:r>
      <w:r>
        <w:rPr>
          <w:rFonts w:hint="eastAsia" w:ascii="仿宋_GB2312" w:eastAsia="仿宋_GB2312"/>
          <w:sz w:val="32"/>
          <w:szCs w:val="32"/>
        </w:rPr>
        <w:t>计划，明确具体实施时限，以及实施内容和目标。在实施过程中，严格项目审批制，按照实施方案执行。项目实施过程中，各项工作进展顺利，相关预案齐全。</w:t>
      </w:r>
    </w:p>
    <w:p>
      <w:pPr>
        <w:numPr>
          <w:ilvl w:val="0"/>
          <w:numId w:val="2"/>
        </w:numPr>
        <w:ind w:firstLine="640" w:firstLineChars="200"/>
        <w:rPr>
          <w:rFonts w:hint="eastAsia" w:ascii="仿宋_GB2312" w:eastAsia="仿宋_GB2312"/>
          <w:sz w:val="32"/>
          <w:szCs w:val="32"/>
        </w:rPr>
      </w:pPr>
      <w:r>
        <w:rPr>
          <w:rFonts w:hint="eastAsia" w:ascii="仿宋_GB2312" w:eastAsia="仿宋_GB2312"/>
          <w:sz w:val="32"/>
          <w:szCs w:val="32"/>
        </w:rPr>
        <w:t>财务管理。</w:t>
      </w:r>
    </w:p>
    <w:p>
      <w:pPr>
        <w:numPr>
          <w:ilvl w:val="0"/>
          <w:numId w:val="0"/>
        </w:numPr>
        <w:ind w:firstLine="640" w:firstLineChars="200"/>
        <w:rPr>
          <w:rFonts w:hint="eastAsia" w:ascii="仿宋_GB2312" w:eastAsia="仿宋"/>
          <w:sz w:val="32"/>
          <w:szCs w:val="32"/>
          <w:lang w:eastAsia="zh-CN"/>
        </w:rPr>
      </w:pPr>
      <w:r>
        <w:rPr>
          <w:rFonts w:hint="eastAsia" w:ascii="仿宋" w:hAnsi="仿宋" w:eastAsia="仿宋" w:cs="Arial"/>
          <w:color w:val="000000"/>
          <w:sz w:val="32"/>
          <w:szCs w:val="32"/>
        </w:rPr>
        <w:t>藁城区</w:t>
      </w:r>
      <w:r>
        <w:rPr>
          <w:rFonts w:hint="eastAsia" w:ascii="仿宋" w:hAnsi="仿宋" w:eastAsia="仿宋" w:cs="Arial"/>
          <w:color w:val="000000"/>
          <w:sz w:val="32"/>
          <w:szCs w:val="32"/>
          <w:lang w:eastAsia="zh-CN"/>
        </w:rPr>
        <w:t>工商联</w:t>
      </w:r>
      <w:r>
        <w:rPr>
          <w:rFonts w:hint="eastAsia" w:ascii="仿宋" w:hAnsi="仿宋" w:eastAsia="仿宋" w:cs="Arial"/>
          <w:color w:val="000000"/>
          <w:sz w:val="32"/>
          <w:szCs w:val="32"/>
        </w:rPr>
        <w:t>在</w:t>
      </w:r>
      <w:r>
        <w:rPr>
          <w:rFonts w:hint="eastAsia" w:ascii="仿宋" w:hAnsi="仿宋" w:eastAsia="仿宋" w:cs="Arial"/>
          <w:color w:val="000000"/>
          <w:sz w:val="32"/>
          <w:szCs w:val="32"/>
          <w:lang w:eastAsia="zh-CN"/>
        </w:rPr>
        <w:t>执委活动</w:t>
      </w:r>
      <w:r>
        <w:rPr>
          <w:rFonts w:hint="eastAsia" w:ascii="仿宋" w:hAnsi="仿宋" w:eastAsia="仿宋" w:cs="Arial"/>
          <w:color w:val="000000"/>
          <w:sz w:val="32"/>
          <w:szCs w:val="32"/>
        </w:rPr>
        <w:t>经费</w:t>
      </w:r>
      <w:r>
        <w:rPr>
          <w:rFonts w:hint="eastAsia" w:ascii="仿宋_GB2312" w:eastAsia="仿宋_GB2312"/>
          <w:sz w:val="32"/>
          <w:szCs w:val="32"/>
        </w:rPr>
        <w:t>项目</w:t>
      </w:r>
      <w:r>
        <w:rPr>
          <w:rFonts w:hint="eastAsia" w:ascii="仿宋" w:hAnsi="仿宋" w:eastAsia="仿宋" w:cs="Arial"/>
          <w:color w:val="000000"/>
          <w:sz w:val="32"/>
          <w:szCs w:val="32"/>
        </w:rPr>
        <w:t>实施过程中，严格遵守国家财经法规和财务管理制度以及有关专项资金管理办法的规定。相关资金使用账目清晰、资金票据及相关附件齐全，资金使用合规、可控</w:t>
      </w:r>
      <w:r>
        <w:rPr>
          <w:rFonts w:hint="eastAsia" w:ascii="仿宋" w:hAnsi="仿宋" w:eastAsia="仿宋" w:cs="Arial"/>
          <w:color w:val="000000"/>
          <w:sz w:val="32"/>
          <w:szCs w:val="32"/>
          <w:lang w:eastAsia="zh-CN"/>
        </w:rPr>
        <w:t>。</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通过</w:t>
      </w:r>
      <w:r>
        <w:rPr>
          <w:rFonts w:hint="eastAsia" w:ascii="仿宋_GB2312" w:eastAsia="仿宋_GB2312"/>
          <w:sz w:val="32"/>
          <w:szCs w:val="32"/>
          <w:lang w:eastAsia="zh-CN"/>
        </w:rPr>
        <w:t>组织全体执委进行爱国主义教育和理想信念教育活动</w:t>
      </w:r>
      <w:r>
        <w:rPr>
          <w:rFonts w:hint="eastAsia" w:ascii="仿宋_GB2312" w:eastAsia="仿宋_GB2312"/>
          <w:sz w:val="32"/>
          <w:szCs w:val="32"/>
        </w:rPr>
        <w:t>，最终达到</w:t>
      </w:r>
      <w:r>
        <w:rPr>
          <w:rFonts w:hint="eastAsia" w:ascii="仿宋_GB2312" w:eastAsia="仿宋_GB2312"/>
          <w:sz w:val="32"/>
          <w:szCs w:val="32"/>
          <w:lang w:eastAsia="zh-CN"/>
        </w:rPr>
        <w:t>提升民营企业家素质以及推动工商联、商会工作</w:t>
      </w:r>
      <w:r>
        <w:rPr>
          <w:rFonts w:hint="eastAsia" w:ascii="仿宋_GB2312" w:eastAsia="仿宋_GB2312"/>
          <w:sz w:val="32"/>
          <w:szCs w:val="32"/>
        </w:rPr>
        <w:t>。</w:t>
      </w:r>
    </w:p>
    <w:p>
      <w:pPr>
        <w:ind w:firstLine="660"/>
        <w:rPr>
          <w:rFonts w:hint="eastAsia" w:ascii="黑体" w:hAnsi="黑体" w:eastAsia="黑体" w:cs="黑体"/>
          <w:sz w:val="32"/>
          <w:szCs w:val="32"/>
        </w:rPr>
      </w:pPr>
      <w:r>
        <w:rPr>
          <w:rFonts w:hint="eastAsia" w:ascii="黑体" w:hAnsi="黑体" w:eastAsia="黑体" w:cs="黑体"/>
          <w:sz w:val="32"/>
          <w:szCs w:val="32"/>
        </w:rPr>
        <w:t>二、绩效评价工作情况</w:t>
      </w:r>
    </w:p>
    <w:p>
      <w:p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（一）绩效评价工作情况</w:t>
      </w:r>
    </w:p>
    <w:p>
      <w:p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主要对2018年度</w:t>
      </w:r>
      <w:r>
        <w:rPr>
          <w:rFonts w:hint="eastAsia" w:ascii="楷体_GB2312" w:hAnsi="楷体_GB2312" w:eastAsia="楷体_GB2312" w:cs="楷体_GB2312"/>
          <w:sz w:val="32"/>
          <w:szCs w:val="32"/>
          <w:lang w:eastAsia="zh-CN"/>
        </w:rPr>
        <w:t>工商联执委活动</w:t>
      </w:r>
      <w:r>
        <w:rPr>
          <w:rFonts w:hint="eastAsia" w:ascii="楷体_GB2312" w:hAnsi="楷体_GB2312" w:eastAsia="楷体_GB2312" w:cs="楷体_GB2312"/>
          <w:sz w:val="32"/>
          <w:szCs w:val="32"/>
        </w:rPr>
        <w:t>经费项目财政支出的经济性、效率性及效益性进行重点评价，并针对评价内容做出分析及合理化建议。</w:t>
      </w:r>
    </w:p>
    <w:p>
      <w:pPr>
        <w:numPr>
          <w:ilvl w:val="0"/>
          <w:numId w:val="3"/>
        </w:numPr>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pPr>
        <w:numPr>
          <w:ilvl w:val="0"/>
          <w:numId w:val="0"/>
        </w:numPr>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主要通过</w:t>
      </w:r>
      <w:r>
        <w:rPr>
          <w:rFonts w:hint="eastAsia" w:ascii="楷体_GB2312" w:hAnsi="楷体_GB2312" w:eastAsia="楷体_GB2312" w:cs="楷体_GB2312"/>
          <w:sz w:val="32"/>
          <w:szCs w:val="32"/>
          <w:lang w:eastAsia="zh-CN"/>
        </w:rPr>
        <w:t>主管领导和主要负责人</w:t>
      </w:r>
      <w:r>
        <w:rPr>
          <w:rFonts w:hint="eastAsia" w:ascii="楷体_GB2312" w:hAnsi="楷体_GB2312" w:eastAsia="楷体_GB2312" w:cs="楷体_GB2312"/>
          <w:sz w:val="32"/>
          <w:szCs w:val="32"/>
        </w:rPr>
        <w:t>对</w:t>
      </w:r>
      <w:r>
        <w:rPr>
          <w:rFonts w:hint="eastAsia" w:ascii="楷体_GB2312" w:hAnsi="楷体_GB2312" w:eastAsia="楷体_GB2312" w:cs="楷体_GB2312"/>
          <w:sz w:val="32"/>
          <w:szCs w:val="32"/>
          <w:lang w:eastAsia="zh-CN"/>
        </w:rPr>
        <w:t>执委活动</w:t>
      </w:r>
      <w:r>
        <w:rPr>
          <w:rFonts w:hint="eastAsia" w:ascii="楷体_GB2312" w:hAnsi="楷体_GB2312" w:eastAsia="楷体_GB2312" w:cs="楷体_GB2312"/>
          <w:sz w:val="32"/>
          <w:szCs w:val="32"/>
        </w:rPr>
        <w:t>档案审理的方式开展绩效评价。</w:t>
      </w:r>
    </w:p>
    <w:p>
      <w:pPr>
        <w:ind w:firstLine="633" w:firstLineChars="198"/>
        <w:rPr>
          <w:rFonts w:hint="eastAsia" w:ascii="黑体" w:hAnsi="黑体" w:eastAsia="黑体" w:cs="黑体"/>
          <w:sz w:val="32"/>
          <w:szCs w:val="32"/>
        </w:rPr>
      </w:pPr>
      <w:r>
        <w:rPr>
          <w:rFonts w:hint="eastAsia" w:ascii="黑体" w:hAnsi="黑体" w:eastAsia="黑体" w:cs="黑体"/>
          <w:sz w:val="32"/>
          <w:szCs w:val="32"/>
        </w:rPr>
        <w:t>三、项目执行及绩效实际情况</w:t>
      </w:r>
    </w:p>
    <w:p>
      <w:pPr>
        <w:ind w:firstLine="633" w:firstLineChars="198"/>
        <w:rPr>
          <w:rFonts w:hint="eastAsia" w:ascii="仿宋_GB2312" w:eastAsia="仿宋_GB2312"/>
          <w:sz w:val="32"/>
          <w:szCs w:val="32"/>
        </w:rPr>
      </w:pPr>
      <w:r>
        <w:rPr>
          <w:rFonts w:hint="eastAsia" w:ascii="楷体_GB2312" w:hAnsi="楷体_GB2312" w:eastAsia="楷体_GB2312" w:cs="楷体_GB2312"/>
          <w:sz w:val="32"/>
          <w:szCs w:val="32"/>
        </w:rPr>
        <w:t>（一）产出指标完成情况分析</w:t>
      </w:r>
    </w:p>
    <w:p>
      <w:pPr>
        <w:ind w:firstLine="640" w:firstLineChars="200"/>
        <w:rPr>
          <w:rFonts w:hint="eastAsia" w:ascii="仿宋_GB2312" w:eastAsia="仿宋_GB2312"/>
          <w:sz w:val="32"/>
          <w:szCs w:val="32"/>
        </w:rPr>
      </w:pPr>
      <w:r>
        <w:rPr>
          <w:rFonts w:hint="eastAsia" w:ascii="仿宋_GB2312" w:eastAsia="仿宋_GB2312"/>
          <w:sz w:val="32"/>
          <w:szCs w:val="32"/>
        </w:rPr>
        <w:t>1、项目的实际完成率</w:t>
      </w:r>
    </w:p>
    <w:p>
      <w:pPr>
        <w:ind w:firstLine="640" w:firstLineChars="200"/>
        <w:rPr>
          <w:rFonts w:hint="eastAsia" w:ascii="仿宋_GB2312" w:eastAsia="仿宋_GB2312"/>
          <w:sz w:val="32"/>
          <w:szCs w:val="32"/>
        </w:rPr>
      </w:pPr>
      <w:r>
        <w:rPr>
          <w:rFonts w:hint="eastAsia" w:ascii="仿宋_GB2312" w:eastAsia="仿宋_GB2312"/>
          <w:sz w:val="32"/>
          <w:szCs w:val="32"/>
        </w:rPr>
        <w:t>2018年度</w:t>
      </w:r>
      <w:r>
        <w:rPr>
          <w:rFonts w:hint="eastAsia" w:ascii="仿宋_GB2312" w:eastAsia="仿宋_GB2312"/>
          <w:sz w:val="32"/>
          <w:szCs w:val="32"/>
          <w:lang w:eastAsia="zh-CN"/>
        </w:rPr>
        <w:t>执委活动经费</w:t>
      </w:r>
      <w:r>
        <w:rPr>
          <w:rFonts w:hint="eastAsia" w:ascii="仿宋_GB2312" w:eastAsia="仿宋_GB2312"/>
          <w:sz w:val="32"/>
          <w:szCs w:val="32"/>
        </w:rPr>
        <w:t>项目已全部完成，实际完成率100%。</w:t>
      </w:r>
    </w:p>
    <w:p>
      <w:pPr>
        <w:numPr>
          <w:ilvl w:val="0"/>
          <w:numId w:val="0"/>
        </w:numPr>
        <w:ind w:firstLine="640" w:firstLineChars="200"/>
        <w:rPr>
          <w:rFonts w:hint="eastAsia" w:ascii="仿宋_GB2312" w:eastAsia="仿宋_GB2312"/>
          <w:sz w:val="32"/>
          <w:szCs w:val="32"/>
        </w:rPr>
      </w:pPr>
      <w:r>
        <w:rPr>
          <w:rFonts w:hint="eastAsia" w:ascii="仿宋_GB2312" w:eastAsia="仿宋_GB2312"/>
          <w:sz w:val="32"/>
          <w:szCs w:val="32"/>
          <w:lang w:val="en-US" w:eastAsia="zh-CN"/>
        </w:rPr>
        <w:t>2、</w:t>
      </w:r>
      <w:r>
        <w:rPr>
          <w:rFonts w:hint="eastAsia" w:ascii="仿宋_GB2312" w:eastAsia="仿宋_GB2312"/>
          <w:sz w:val="32"/>
          <w:szCs w:val="32"/>
        </w:rPr>
        <w:t>项目完成及时率</w:t>
      </w:r>
    </w:p>
    <w:p>
      <w:pPr>
        <w:numPr>
          <w:ilvl w:val="0"/>
          <w:numId w:val="0"/>
        </w:numPr>
        <w:ind w:firstLine="320" w:firstLineChars="100"/>
        <w:rPr>
          <w:rFonts w:hint="eastAsia" w:ascii="仿宋_GB2312" w:eastAsia="仿宋_GB2312"/>
          <w:sz w:val="32"/>
          <w:szCs w:val="32"/>
        </w:rPr>
      </w:pPr>
      <w:r>
        <w:rPr>
          <w:rFonts w:hint="eastAsia" w:ascii="仿宋_GB2312" w:eastAsia="仿宋_GB2312"/>
          <w:sz w:val="32"/>
          <w:szCs w:val="32"/>
          <w:lang w:eastAsia="zh-CN"/>
        </w:rPr>
        <w:t>执委活动经费</w:t>
      </w:r>
      <w:r>
        <w:rPr>
          <w:rFonts w:hint="eastAsia" w:ascii="仿宋_GB2312" w:eastAsia="仿宋_GB2312"/>
          <w:sz w:val="32"/>
          <w:szCs w:val="32"/>
        </w:rPr>
        <w:t>项目都是在规定时间内完成，完成及时率100%。</w:t>
      </w:r>
    </w:p>
    <w:p>
      <w:pPr>
        <w:numPr>
          <w:ilvl w:val="0"/>
          <w:numId w:val="4"/>
        </w:numPr>
        <w:ind w:firstLine="640" w:firstLineChars="200"/>
        <w:rPr>
          <w:rFonts w:hint="eastAsia" w:ascii="仿宋_GB2312" w:eastAsia="仿宋_GB2312"/>
          <w:sz w:val="32"/>
          <w:szCs w:val="32"/>
        </w:rPr>
      </w:pPr>
      <w:r>
        <w:rPr>
          <w:rFonts w:hint="eastAsia" w:ascii="仿宋_GB2312" w:eastAsia="仿宋_GB2312"/>
          <w:sz w:val="32"/>
          <w:szCs w:val="32"/>
        </w:rPr>
        <w:t>项目完成质量达标率</w:t>
      </w:r>
    </w:p>
    <w:p>
      <w:pPr>
        <w:ind w:left="420" w:leftChars="200"/>
        <w:rPr>
          <w:rFonts w:hint="eastAsia" w:ascii="仿宋_GB2312" w:eastAsia="仿宋_GB2312"/>
          <w:sz w:val="32"/>
          <w:szCs w:val="32"/>
        </w:rPr>
      </w:pPr>
      <w:r>
        <w:rPr>
          <w:rFonts w:hint="eastAsia" w:ascii="仿宋_GB2312" w:eastAsia="仿宋_GB2312"/>
          <w:sz w:val="32"/>
          <w:szCs w:val="32"/>
          <w:lang w:eastAsia="zh-CN"/>
        </w:rPr>
        <w:t>执委活动工作稳定，达标率</w:t>
      </w:r>
      <w:r>
        <w:rPr>
          <w:rFonts w:hint="eastAsia" w:ascii="仿宋_GB2312" w:eastAsia="仿宋_GB2312"/>
          <w:sz w:val="32"/>
          <w:szCs w:val="32"/>
        </w:rPr>
        <w:t>100%。</w:t>
      </w:r>
      <w:r>
        <w:rPr>
          <w:rFonts w:hint="eastAsia" w:ascii="仿宋_GB2312" w:eastAsia="仿宋_GB2312"/>
          <w:sz w:val="32"/>
          <w:szCs w:val="32"/>
          <w:lang w:val="en-US" w:eastAsia="zh-CN"/>
        </w:rPr>
        <w:t xml:space="preserve">                                  </w:t>
      </w:r>
    </w:p>
    <w:p>
      <w:pPr>
        <w:rPr>
          <w:rFonts w:hint="eastAsia"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pPr>
        <w:ind w:firstLine="640" w:firstLineChars="200"/>
        <w:rPr>
          <w:rFonts w:hint="eastAsia" w:ascii="仿宋_GB2312" w:eastAsia="仿宋_GB2312"/>
          <w:sz w:val="32"/>
          <w:szCs w:val="32"/>
        </w:rPr>
      </w:pPr>
      <w:r>
        <w:rPr>
          <w:rFonts w:hint="eastAsia" w:ascii="仿宋_GB2312" w:eastAsia="仿宋_GB2312"/>
          <w:sz w:val="32"/>
          <w:szCs w:val="32"/>
        </w:rPr>
        <w:t>1、项目实施的社会效益分析</w:t>
      </w:r>
    </w:p>
    <w:p>
      <w:pPr>
        <w:adjustRightInd w:val="0"/>
        <w:snapToGrid w:val="0"/>
        <w:spacing w:line="360" w:lineRule="auto"/>
        <w:ind w:firstLine="640" w:firstLineChars="200"/>
        <w:rPr>
          <w:rFonts w:hint="default" w:ascii="仿宋_GB2312" w:eastAsia="仿宋_GB2312"/>
          <w:sz w:val="32"/>
          <w:szCs w:val="32"/>
          <w:lang w:val="en-US"/>
        </w:rPr>
      </w:pPr>
      <w:r>
        <w:rPr>
          <w:rFonts w:hint="eastAsia" w:ascii="仿宋_GB2312" w:eastAsia="仿宋_GB2312"/>
          <w:sz w:val="32"/>
          <w:szCs w:val="32"/>
        </w:rPr>
        <w:t>通过</w:t>
      </w:r>
      <w:r>
        <w:rPr>
          <w:rFonts w:hint="eastAsia" w:ascii="仿宋_GB2312" w:eastAsia="仿宋_GB2312"/>
          <w:sz w:val="32"/>
          <w:szCs w:val="32"/>
          <w:lang w:eastAsia="zh-CN"/>
        </w:rPr>
        <w:t>执委会培训、学习</w:t>
      </w:r>
      <w:r>
        <w:rPr>
          <w:rFonts w:hint="eastAsia" w:ascii="仿宋_GB2312" w:eastAsia="仿宋_GB2312"/>
          <w:sz w:val="32"/>
          <w:szCs w:val="32"/>
        </w:rPr>
        <w:t>，</w:t>
      </w:r>
      <w:r>
        <w:rPr>
          <w:rFonts w:hint="eastAsia" w:ascii="仿宋_GB2312" w:eastAsia="仿宋_GB2312"/>
          <w:sz w:val="32"/>
          <w:szCs w:val="32"/>
          <w:lang w:eastAsia="zh-CN"/>
        </w:rPr>
        <w:t>听取报告、增补委员，总结上年度工作、部署下年度工作；充分发挥工商联桥梁纽带作用、切实有效地服务企业。</w:t>
      </w:r>
    </w:p>
    <w:p>
      <w:pPr>
        <w:ind w:firstLine="640" w:firstLineChars="200"/>
        <w:rPr>
          <w:rFonts w:hint="eastAsia"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hint="eastAsia" w:ascii="仿宋_GB2312" w:eastAsia="仿宋_GB2312"/>
          <w:sz w:val="32"/>
          <w:szCs w:val="32"/>
        </w:rPr>
      </w:pPr>
      <w:r>
        <w:rPr>
          <w:rFonts w:hint="eastAsia" w:ascii="仿宋" w:hAnsi="仿宋" w:eastAsia="仿宋" w:cs="仿宋"/>
          <w:sz w:val="32"/>
          <w:szCs w:val="32"/>
        </w:rPr>
        <w:t>2018年</w:t>
      </w:r>
      <w:r>
        <w:rPr>
          <w:rFonts w:hint="eastAsia" w:ascii="仿宋" w:hAnsi="仿宋" w:eastAsia="仿宋" w:cs="仿宋"/>
          <w:sz w:val="32"/>
          <w:szCs w:val="32"/>
          <w:lang w:eastAsia="zh-CN"/>
        </w:rPr>
        <w:t>工商联执委活动</w:t>
      </w:r>
      <w:r>
        <w:rPr>
          <w:rFonts w:hint="eastAsia" w:ascii="仿宋" w:hAnsi="仿宋" w:eastAsia="仿宋" w:cs="仿宋"/>
          <w:sz w:val="32"/>
          <w:szCs w:val="32"/>
        </w:rPr>
        <w:t>经费项目绩效评价总分9</w:t>
      </w:r>
      <w:r>
        <w:rPr>
          <w:rFonts w:hint="eastAsia" w:ascii="仿宋" w:hAnsi="仿宋" w:eastAsia="仿宋" w:cs="仿宋"/>
          <w:sz w:val="32"/>
          <w:szCs w:val="32"/>
          <w:lang w:val="en-US" w:eastAsia="zh-CN"/>
        </w:rPr>
        <w:t>0</w:t>
      </w:r>
      <w:r>
        <w:rPr>
          <w:rFonts w:hint="eastAsia" w:ascii="仿宋" w:hAnsi="仿宋" w:eastAsia="仿宋" w:cs="仿宋"/>
          <w:sz w:val="32"/>
          <w:szCs w:val="32"/>
        </w:rPr>
        <w:t>分，绩效评价等级为优秀。</w:t>
      </w:r>
    </w:p>
    <w:p>
      <w:pPr>
        <w:ind w:firstLine="640" w:firstLineChars="200"/>
        <w:rPr>
          <w:rFonts w:hint="eastAsia" w:ascii="仿宋_GB2312" w:eastAsia="仿宋_GB2312"/>
          <w:sz w:val="32"/>
          <w:szCs w:val="32"/>
        </w:rPr>
      </w:pPr>
      <w:r>
        <w:rPr>
          <w:rFonts w:hint="eastAsia" w:ascii="黑体" w:hAnsi="黑体" w:eastAsia="黑体"/>
          <w:sz w:val="32"/>
          <w:szCs w:val="32"/>
        </w:rPr>
        <w:t>五、存在的问题及改进措施</w:t>
      </w:r>
    </w:p>
    <w:p>
      <w:pPr>
        <w:rPr>
          <w:rFonts w:hint="eastAsia" w:ascii="楷体_GB2312" w:hAnsi="楷体_GB2312" w:eastAsia="楷体_GB2312"/>
          <w:sz w:val="32"/>
          <w:szCs w:val="32"/>
        </w:rPr>
      </w:pPr>
      <w:r>
        <w:rPr>
          <w:rFonts w:hint="eastAsia" w:ascii="楷体_GB2312" w:hAnsi="楷体_GB2312" w:eastAsia="楷体_GB2312"/>
          <w:b/>
          <w:bCs/>
          <w:sz w:val="32"/>
          <w:szCs w:val="32"/>
        </w:rPr>
        <w:t xml:space="preserve">   </w:t>
      </w:r>
      <w:r>
        <w:rPr>
          <w:rFonts w:hint="eastAsia" w:ascii="楷体_GB2312" w:hAnsi="楷体_GB2312" w:eastAsia="楷体_GB2312"/>
          <w:sz w:val="32"/>
          <w:szCs w:val="32"/>
        </w:rPr>
        <w:t>（一）项目存在的主要问题</w:t>
      </w:r>
    </w:p>
    <w:p>
      <w:pPr>
        <w:rPr>
          <w:rFonts w:hint="default" w:ascii="楷体_GB2312" w:hAnsi="楷体_GB2312" w:eastAsia="楷体_GB2312"/>
          <w:sz w:val="32"/>
          <w:szCs w:val="32"/>
          <w:lang w:val="en-US" w:eastAsia="zh-CN"/>
        </w:rPr>
      </w:pPr>
      <w:r>
        <w:rPr>
          <w:rFonts w:hint="eastAsia" w:ascii="楷体_GB2312" w:hAnsi="楷体_GB2312" w:eastAsia="楷体_GB2312"/>
          <w:sz w:val="32"/>
          <w:szCs w:val="32"/>
          <w:lang w:val="en-US" w:eastAsia="zh-CN"/>
        </w:rPr>
        <w:t xml:space="preserve">    </w:t>
      </w:r>
      <w:r>
        <w:rPr>
          <w:rFonts w:hint="eastAsia" w:ascii="楷体_GB2312" w:hAnsi="楷体_GB2312" w:eastAsia="楷体_GB2312"/>
          <w:sz w:val="32"/>
          <w:szCs w:val="32"/>
        </w:rPr>
        <w:t>项目预算比较薄弱，预算的计划性，科学性不强，消弱了预算的约束控制力。</w:t>
      </w:r>
    </w:p>
    <w:p>
      <w:pPr>
        <w:numPr>
          <w:ilvl w:val="0"/>
          <w:numId w:val="5"/>
        </w:numPr>
        <w:ind w:left="480" w:leftChars="0" w:firstLine="0" w:firstLineChars="0"/>
        <w:rPr>
          <w:rFonts w:hint="eastAsia" w:ascii="楷体_GB2312" w:hAnsi="楷体_GB2312" w:eastAsia="楷体_GB2312"/>
          <w:sz w:val="32"/>
          <w:szCs w:val="32"/>
        </w:rPr>
      </w:pPr>
      <w:r>
        <w:rPr>
          <w:rFonts w:hint="eastAsia" w:ascii="楷体_GB2312" w:hAnsi="楷体_GB2312" w:eastAsia="楷体_GB2312"/>
          <w:sz w:val="32"/>
          <w:szCs w:val="32"/>
        </w:rPr>
        <w:t>针对问题提出具体的改进措施或建议</w:t>
      </w:r>
    </w:p>
    <w:p>
      <w:pPr>
        <w:numPr>
          <w:ilvl w:val="0"/>
          <w:numId w:val="6"/>
        </w:numPr>
        <w:ind w:left="960" w:leftChars="0" w:firstLine="0" w:firstLineChars="0"/>
        <w:rPr>
          <w:rFonts w:hint="default" w:ascii="楷体_GB2312" w:hAnsi="楷体_GB2312" w:eastAsia="楷体_GB2312"/>
          <w:sz w:val="32"/>
          <w:szCs w:val="32"/>
          <w:lang w:val="en-US" w:eastAsia="zh-CN"/>
        </w:rPr>
      </w:pPr>
      <w:r>
        <w:rPr>
          <w:rFonts w:hint="eastAsia" w:ascii="楷体_GB2312" w:hAnsi="楷体_GB2312" w:eastAsia="楷体_GB2312"/>
          <w:sz w:val="32"/>
          <w:szCs w:val="32"/>
        </w:rPr>
        <w:t>严格预算管理标准，提高预算绩效指标。</w:t>
      </w:r>
    </w:p>
    <w:p>
      <w:pPr>
        <w:numPr>
          <w:ilvl w:val="0"/>
          <w:numId w:val="6"/>
        </w:numPr>
        <w:ind w:left="960" w:leftChars="0" w:firstLine="0" w:firstLineChars="0"/>
        <w:rPr>
          <w:rFonts w:hint="default" w:ascii="楷体_GB2312" w:hAnsi="楷体_GB2312" w:eastAsia="楷体_GB2312"/>
          <w:sz w:val="32"/>
          <w:szCs w:val="32"/>
          <w:lang w:val="en-US" w:eastAsia="zh-CN"/>
        </w:rPr>
      </w:pPr>
      <w:r>
        <w:rPr>
          <w:rFonts w:hint="eastAsia" w:ascii="楷体_GB2312" w:hAnsi="楷体_GB2312" w:eastAsia="楷体_GB2312"/>
          <w:sz w:val="32"/>
          <w:szCs w:val="32"/>
        </w:rPr>
        <w:t>认</w:t>
      </w:r>
      <w:r>
        <w:rPr>
          <w:rFonts w:hint="eastAsia" w:ascii="楷体_GB2312" w:hAnsi="楷体_GB2312" w:eastAsia="楷体_GB2312"/>
          <w:sz w:val="32"/>
          <w:szCs w:val="32"/>
          <w:lang w:eastAsia="zh-CN"/>
        </w:rPr>
        <w:t>真</w:t>
      </w:r>
      <w:r>
        <w:rPr>
          <w:rFonts w:hint="eastAsia" w:ascii="楷体_GB2312" w:hAnsi="楷体_GB2312" w:eastAsia="楷体_GB2312"/>
          <w:sz w:val="32"/>
          <w:szCs w:val="32"/>
        </w:rPr>
        <w:t>做好前期预算执行准备工作，加强项目跟</w:t>
      </w:r>
    </w:p>
    <w:p>
      <w:pPr>
        <w:numPr>
          <w:ilvl w:val="0"/>
          <w:numId w:val="0"/>
        </w:numPr>
        <w:rPr>
          <w:rFonts w:hint="default" w:ascii="楷体_GB2312" w:hAnsi="楷体_GB2312" w:eastAsia="楷体_GB2312"/>
          <w:sz w:val="32"/>
          <w:szCs w:val="32"/>
          <w:lang w:val="en-US" w:eastAsia="zh-CN"/>
        </w:rPr>
      </w:pPr>
      <w:r>
        <w:rPr>
          <w:rFonts w:hint="eastAsia" w:ascii="楷体_GB2312" w:hAnsi="楷体_GB2312" w:eastAsia="楷体_GB2312"/>
          <w:sz w:val="32"/>
          <w:szCs w:val="32"/>
          <w:lang w:eastAsia="zh-CN"/>
        </w:rPr>
        <w:t>宗</w:t>
      </w:r>
      <w:r>
        <w:rPr>
          <w:rFonts w:hint="eastAsia" w:ascii="楷体_GB2312" w:hAnsi="楷体_GB2312" w:eastAsia="楷体_GB2312"/>
          <w:sz w:val="32"/>
          <w:szCs w:val="32"/>
        </w:rPr>
        <w:t>及项目支出执行管理，提高预算资金使用效率。</w:t>
      </w:r>
    </w:p>
    <w:p>
      <w:pPr>
        <w:adjustRightInd w:val="0"/>
        <w:snapToGrid w:val="0"/>
        <w:spacing w:line="360" w:lineRule="auto"/>
        <w:ind w:firstLine="640" w:firstLineChars="200"/>
        <w:rPr>
          <w:rFonts w:hint="default" w:eastAsia="宋体"/>
          <w:lang w:val="en-US" w:eastAsia="zh-CN"/>
        </w:rPr>
      </w:pPr>
      <w:r>
        <w:rPr>
          <w:rFonts w:hint="eastAsia" w:ascii="黑体" w:eastAsia="黑体"/>
          <w:sz w:val="32"/>
          <w:szCs w:val="32"/>
        </w:rPr>
        <w:t>六、评价工作组人员名单及签字</w:t>
      </w:r>
    </w:p>
    <w:tbl>
      <w:tblPr>
        <w:tblStyle w:val="2"/>
        <w:tblpPr w:leftFromText="180" w:rightFromText="180" w:vertAnchor="text" w:horzAnchor="page" w:tblpX="2208" w:tblpY="178"/>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3"/>
        <w:gridCol w:w="1546"/>
        <w:gridCol w:w="1701"/>
        <w:gridCol w:w="2295"/>
        <w:gridCol w:w="13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1263" w:type="dxa"/>
            <w:noWrap w:val="0"/>
            <w:vAlign w:val="center"/>
          </w:tcPr>
          <w:p>
            <w:pPr>
              <w:rPr>
                <w:rFonts w:hint="eastAsia"/>
              </w:rPr>
            </w:pPr>
            <w:r>
              <w:rPr>
                <w:rFonts w:hint="eastAsia"/>
              </w:rPr>
              <w:t xml:space="preserve">   序号</w:t>
            </w:r>
          </w:p>
        </w:tc>
        <w:tc>
          <w:tcPr>
            <w:tcW w:w="1546" w:type="dxa"/>
            <w:noWrap w:val="0"/>
            <w:vAlign w:val="center"/>
          </w:tcPr>
          <w:p>
            <w:pPr>
              <w:rPr>
                <w:rFonts w:hint="eastAsia"/>
              </w:rPr>
            </w:pPr>
            <w:r>
              <w:rPr>
                <w:rFonts w:hint="eastAsia"/>
              </w:rPr>
              <w:t xml:space="preserve">   姓名</w:t>
            </w:r>
          </w:p>
        </w:tc>
        <w:tc>
          <w:tcPr>
            <w:tcW w:w="1701" w:type="dxa"/>
            <w:noWrap w:val="0"/>
            <w:vAlign w:val="center"/>
          </w:tcPr>
          <w:p>
            <w:pPr>
              <w:jc w:val="center"/>
              <w:rPr>
                <w:rFonts w:hint="eastAsia"/>
              </w:rPr>
            </w:pPr>
            <w:r>
              <w:rPr>
                <w:rFonts w:hint="eastAsia"/>
              </w:rPr>
              <w:t>工作单位</w:t>
            </w:r>
          </w:p>
        </w:tc>
        <w:tc>
          <w:tcPr>
            <w:tcW w:w="2295" w:type="dxa"/>
            <w:noWrap w:val="0"/>
            <w:vAlign w:val="center"/>
          </w:tcPr>
          <w:p>
            <w:pPr>
              <w:jc w:val="center"/>
              <w:rPr>
                <w:rFonts w:hint="eastAsia"/>
              </w:rPr>
            </w:pPr>
            <w:r>
              <w:rPr>
                <w:rFonts w:hint="eastAsia"/>
              </w:rPr>
              <w:t>职务</w:t>
            </w:r>
          </w:p>
        </w:tc>
        <w:tc>
          <w:tcPr>
            <w:tcW w:w="1389" w:type="dxa"/>
            <w:noWrap w:val="0"/>
            <w:vAlign w:val="center"/>
          </w:tcPr>
          <w:p>
            <w:pPr>
              <w:rPr>
                <w:rFonts w:hint="eastAsia"/>
              </w:rPr>
            </w:pPr>
            <w:r>
              <w:rPr>
                <w:rFonts w:hint="eastAsia"/>
              </w:rPr>
              <w:t xml:space="preserve">    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1263" w:type="dxa"/>
            <w:noWrap w:val="0"/>
            <w:vAlign w:val="center"/>
          </w:tcPr>
          <w:p>
            <w:pPr>
              <w:rPr>
                <w:rFonts w:hint="eastAsia"/>
              </w:rPr>
            </w:pPr>
            <w:r>
              <w:rPr>
                <w:rFonts w:hint="eastAsia"/>
              </w:rPr>
              <w:t xml:space="preserve">    1</w:t>
            </w:r>
          </w:p>
        </w:tc>
        <w:tc>
          <w:tcPr>
            <w:tcW w:w="1546" w:type="dxa"/>
            <w:noWrap w:val="0"/>
            <w:vAlign w:val="center"/>
          </w:tcPr>
          <w:p>
            <w:pPr>
              <w:rPr>
                <w:rFonts w:hint="eastAsia" w:eastAsia="宋体"/>
                <w:lang w:eastAsia="zh-CN"/>
              </w:rPr>
            </w:pPr>
            <w:r>
              <w:rPr>
                <w:rFonts w:hint="eastAsia"/>
              </w:rPr>
              <w:t xml:space="preserve">  </w:t>
            </w:r>
            <w:r>
              <w:rPr>
                <w:rFonts w:hint="eastAsia"/>
                <w:lang w:eastAsia="zh-CN"/>
              </w:rPr>
              <w:t>李军海</w:t>
            </w:r>
          </w:p>
        </w:tc>
        <w:tc>
          <w:tcPr>
            <w:tcW w:w="1701" w:type="dxa"/>
            <w:noWrap w:val="0"/>
            <w:vAlign w:val="center"/>
          </w:tcPr>
          <w:p>
            <w:pPr>
              <w:jc w:val="center"/>
              <w:rPr>
                <w:rFonts w:hint="eastAsia" w:eastAsia="宋体"/>
                <w:lang w:eastAsia="zh-CN"/>
              </w:rPr>
            </w:pPr>
            <w:r>
              <w:rPr>
                <w:rFonts w:hint="eastAsia"/>
                <w:lang w:eastAsia="zh-CN"/>
              </w:rPr>
              <w:t>工商联</w:t>
            </w:r>
          </w:p>
        </w:tc>
        <w:tc>
          <w:tcPr>
            <w:tcW w:w="2295" w:type="dxa"/>
            <w:noWrap w:val="0"/>
            <w:vAlign w:val="center"/>
          </w:tcPr>
          <w:p>
            <w:pPr>
              <w:rPr>
                <w:rFonts w:hint="eastAsia" w:eastAsia="宋体"/>
                <w:lang w:eastAsia="zh-CN"/>
              </w:rPr>
            </w:pPr>
            <w:r>
              <w:rPr>
                <w:rFonts w:hint="eastAsia"/>
                <w:lang w:eastAsia="zh-CN"/>
              </w:rPr>
              <w:t>党组书记、常务副主席</w:t>
            </w:r>
          </w:p>
        </w:tc>
        <w:tc>
          <w:tcPr>
            <w:tcW w:w="1389" w:type="dxa"/>
            <w:noWrap w:val="0"/>
            <w:vAlign w:val="center"/>
          </w:tcPr>
          <w:p>
            <w:pPr>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1263" w:type="dxa"/>
            <w:noWrap w:val="0"/>
            <w:vAlign w:val="center"/>
          </w:tcPr>
          <w:p>
            <w:pPr>
              <w:rPr>
                <w:rFonts w:hint="eastAsia"/>
              </w:rPr>
            </w:pPr>
            <w:r>
              <w:rPr>
                <w:rFonts w:hint="eastAsia"/>
              </w:rPr>
              <w:t xml:space="preserve">    2</w:t>
            </w:r>
          </w:p>
        </w:tc>
        <w:tc>
          <w:tcPr>
            <w:tcW w:w="1546" w:type="dxa"/>
            <w:noWrap w:val="0"/>
            <w:vAlign w:val="center"/>
          </w:tcPr>
          <w:p>
            <w:pPr>
              <w:rPr>
                <w:rFonts w:hint="eastAsia" w:eastAsia="宋体"/>
                <w:lang w:eastAsia="zh-CN"/>
              </w:rPr>
            </w:pPr>
            <w:r>
              <w:rPr>
                <w:rFonts w:hint="eastAsia"/>
              </w:rPr>
              <w:t xml:space="preserve">  </w:t>
            </w:r>
            <w:r>
              <w:rPr>
                <w:rFonts w:hint="eastAsia"/>
                <w:lang w:eastAsia="zh-CN"/>
              </w:rPr>
              <w:t>王晓莉</w:t>
            </w:r>
          </w:p>
        </w:tc>
        <w:tc>
          <w:tcPr>
            <w:tcW w:w="1701" w:type="dxa"/>
            <w:noWrap w:val="0"/>
            <w:vAlign w:val="center"/>
          </w:tcPr>
          <w:p>
            <w:pPr>
              <w:jc w:val="center"/>
              <w:rPr>
                <w:rFonts w:hint="eastAsia" w:eastAsia="宋体"/>
                <w:lang w:eastAsia="zh-CN"/>
              </w:rPr>
            </w:pPr>
            <w:r>
              <w:rPr>
                <w:rFonts w:hint="eastAsia"/>
                <w:lang w:eastAsia="zh-CN"/>
              </w:rPr>
              <w:t>工商联</w:t>
            </w:r>
          </w:p>
        </w:tc>
        <w:tc>
          <w:tcPr>
            <w:tcW w:w="2295" w:type="dxa"/>
            <w:noWrap w:val="0"/>
            <w:vAlign w:val="center"/>
          </w:tcPr>
          <w:p>
            <w:pPr>
              <w:jc w:val="center"/>
              <w:rPr>
                <w:rFonts w:hint="eastAsia" w:eastAsia="宋体"/>
                <w:lang w:eastAsia="zh-CN"/>
              </w:rPr>
            </w:pPr>
            <w:r>
              <w:rPr>
                <w:rFonts w:hint="eastAsia"/>
                <w:lang w:eastAsia="zh-CN"/>
              </w:rPr>
              <w:t>党组成员、秘书长</w:t>
            </w:r>
          </w:p>
        </w:tc>
        <w:tc>
          <w:tcPr>
            <w:tcW w:w="1389" w:type="dxa"/>
            <w:noWrap w:val="0"/>
            <w:vAlign w:val="center"/>
          </w:tcPr>
          <w:p>
            <w:pPr>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jc w:val="center"/>
        </w:trPr>
        <w:tc>
          <w:tcPr>
            <w:tcW w:w="1263" w:type="dxa"/>
            <w:noWrap w:val="0"/>
            <w:vAlign w:val="center"/>
          </w:tcPr>
          <w:p>
            <w:pPr>
              <w:rPr>
                <w:rFonts w:hint="eastAsia"/>
              </w:rPr>
            </w:pPr>
            <w:r>
              <w:rPr>
                <w:rFonts w:hint="eastAsia"/>
              </w:rPr>
              <w:t xml:space="preserve">    </w:t>
            </w:r>
          </w:p>
        </w:tc>
        <w:tc>
          <w:tcPr>
            <w:tcW w:w="1546" w:type="dxa"/>
            <w:noWrap w:val="0"/>
            <w:vAlign w:val="center"/>
          </w:tcPr>
          <w:p>
            <w:pPr>
              <w:rPr>
                <w:rFonts w:hint="eastAsia" w:eastAsia="宋体"/>
                <w:lang w:eastAsia="zh-CN"/>
              </w:rPr>
            </w:pPr>
          </w:p>
        </w:tc>
        <w:tc>
          <w:tcPr>
            <w:tcW w:w="1701" w:type="dxa"/>
            <w:noWrap w:val="0"/>
            <w:vAlign w:val="center"/>
          </w:tcPr>
          <w:p>
            <w:pPr>
              <w:rPr>
                <w:rFonts w:hint="eastAsia" w:eastAsia="宋体"/>
                <w:lang w:eastAsia="zh-CN"/>
              </w:rPr>
            </w:pPr>
          </w:p>
        </w:tc>
        <w:tc>
          <w:tcPr>
            <w:tcW w:w="2295" w:type="dxa"/>
            <w:noWrap w:val="0"/>
            <w:vAlign w:val="center"/>
          </w:tcPr>
          <w:p>
            <w:pPr>
              <w:rPr>
                <w:rFonts w:hint="eastAsia" w:eastAsia="宋体"/>
                <w:lang w:eastAsia="zh-CN"/>
              </w:rPr>
            </w:pPr>
          </w:p>
        </w:tc>
        <w:tc>
          <w:tcPr>
            <w:tcW w:w="1389" w:type="dxa"/>
            <w:noWrap w:val="0"/>
            <w:vAlign w:val="center"/>
          </w:tcPr>
          <w:p>
            <w:pPr>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jc w:val="center"/>
        </w:trPr>
        <w:tc>
          <w:tcPr>
            <w:tcW w:w="1263" w:type="dxa"/>
            <w:noWrap w:val="0"/>
            <w:vAlign w:val="center"/>
          </w:tcPr>
          <w:p>
            <w:pPr>
              <w:rPr>
                <w:rFonts w:hint="eastAsia"/>
              </w:rPr>
            </w:pPr>
            <w:r>
              <w:rPr>
                <w:rFonts w:hint="eastAsia"/>
              </w:rPr>
              <w:t xml:space="preserve">    </w:t>
            </w:r>
          </w:p>
        </w:tc>
        <w:tc>
          <w:tcPr>
            <w:tcW w:w="1546" w:type="dxa"/>
            <w:noWrap w:val="0"/>
            <w:vAlign w:val="center"/>
          </w:tcPr>
          <w:p>
            <w:pPr>
              <w:rPr>
                <w:rFonts w:hint="eastAsia"/>
              </w:rPr>
            </w:pPr>
            <w:r>
              <w:rPr>
                <w:rFonts w:hint="eastAsia"/>
              </w:rPr>
              <w:t xml:space="preserve">  </w:t>
            </w:r>
          </w:p>
        </w:tc>
        <w:tc>
          <w:tcPr>
            <w:tcW w:w="1701" w:type="dxa"/>
            <w:noWrap w:val="0"/>
            <w:vAlign w:val="center"/>
          </w:tcPr>
          <w:p>
            <w:pPr>
              <w:rPr>
                <w:rFonts w:hint="eastAsia"/>
              </w:rPr>
            </w:pPr>
          </w:p>
        </w:tc>
        <w:tc>
          <w:tcPr>
            <w:tcW w:w="2295" w:type="dxa"/>
            <w:noWrap w:val="0"/>
            <w:vAlign w:val="center"/>
          </w:tcPr>
          <w:p>
            <w:pPr>
              <w:rPr>
                <w:rFonts w:hint="eastAsia"/>
              </w:rPr>
            </w:pPr>
          </w:p>
        </w:tc>
        <w:tc>
          <w:tcPr>
            <w:tcW w:w="1389" w:type="dxa"/>
            <w:noWrap w:val="0"/>
            <w:vAlign w:val="center"/>
          </w:tcPr>
          <w:p>
            <w:pPr>
              <w:rPr>
                <w:rFonts w:hint="eastAsia"/>
              </w:rPr>
            </w:pPr>
          </w:p>
        </w:tc>
      </w:tr>
    </w:tbl>
    <w:p>
      <w:pPr>
        <w:rPr>
          <w:rFonts w:hint="default" w:eastAsia="宋体"/>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F3B9F27"/>
    <w:multiLevelType w:val="singleLevel"/>
    <w:tmpl w:val="AF3B9F27"/>
    <w:lvl w:ilvl="0" w:tentative="0">
      <w:start w:val="2"/>
      <w:numFmt w:val="chineseCounting"/>
      <w:suff w:val="nothing"/>
      <w:lvlText w:val="（%1）"/>
      <w:lvlJc w:val="left"/>
      <w:pPr>
        <w:ind w:left="480" w:leftChars="0" w:firstLine="0" w:firstLineChars="0"/>
      </w:pPr>
      <w:rPr>
        <w:rFonts w:hint="eastAsia"/>
      </w:rPr>
    </w:lvl>
  </w:abstractNum>
  <w:abstractNum w:abstractNumId="1">
    <w:nsid w:val="CE64248A"/>
    <w:multiLevelType w:val="singleLevel"/>
    <w:tmpl w:val="CE64248A"/>
    <w:lvl w:ilvl="0" w:tentative="0">
      <w:start w:val="2"/>
      <w:numFmt w:val="chineseCounting"/>
      <w:suff w:val="nothing"/>
      <w:lvlText w:val="（%1）"/>
      <w:lvlJc w:val="left"/>
      <w:rPr>
        <w:rFonts w:hint="eastAsia"/>
      </w:rPr>
    </w:lvl>
  </w:abstractNum>
  <w:abstractNum w:abstractNumId="2">
    <w:nsid w:val="06C2FA02"/>
    <w:multiLevelType w:val="singleLevel"/>
    <w:tmpl w:val="06C2FA02"/>
    <w:lvl w:ilvl="0" w:tentative="0">
      <w:start w:val="1"/>
      <w:numFmt w:val="decimal"/>
      <w:suff w:val="nothing"/>
      <w:lvlText w:val="%1、"/>
      <w:lvlJc w:val="left"/>
      <w:pPr>
        <w:ind w:left="960" w:leftChars="0" w:firstLine="0" w:firstLineChars="0"/>
      </w:pPr>
    </w:lvl>
  </w:abstractNum>
  <w:abstractNum w:abstractNumId="3">
    <w:nsid w:val="4917DE50"/>
    <w:multiLevelType w:val="singleLevel"/>
    <w:tmpl w:val="4917DE50"/>
    <w:lvl w:ilvl="0" w:tentative="0">
      <w:start w:val="3"/>
      <w:numFmt w:val="decimal"/>
      <w:suff w:val="nothing"/>
      <w:lvlText w:val="%1、"/>
      <w:lvlJc w:val="left"/>
    </w:lvl>
  </w:abstractNum>
  <w:abstractNum w:abstractNumId="4">
    <w:nsid w:val="514AC1C5"/>
    <w:multiLevelType w:val="singleLevel"/>
    <w:tmpl w:val="514AC1C5"/>
    <w:lvl w:ilvl="0" w:tentative="0">
      <w:start w:val="2"/>
      <w:numFmt w:val="decimal"/>
      <w:suff w:val="nothing"/>
      <w:lvlText w:val="（%1）"/>
      <w:lvlJc w:val="left"/>
    </w:lvl>
  </w:abstractNum>
  <w:abstractNum w:abstractNumId="5">
    <w:nsid w:val="794AE51A"/>
    <w:multiLevelType w:val="singleLevel"/>
    <w:tmpl w:val="794AE51A"/>
    <w:lvl w:ilvl="0" w:tentative="0">
      <w:start w:val="2"/>
      <w:numFmt w:val="decimal"/>
      <w:lvlText w:val="%1."/>
      <w:lvlJc w:val="left"/>
      <w:pPr>
        <w:tabs>
          <w:tab w:val="left" w:pos="312"/>
        </w:tabs>
        <w:ind w:left="800" w:leftChars="0" w:firstLine="0" w:firstLineChars="0"/>
      </w:pPr>
    </w:lvl>
  </w:abstractNum>
  <w:num w:numId="1">
    <w:abstractNumId w:val="5"/>
  </w:num>
  <w:num w:numId="2">
    <w:abstractNumId w:val="4"/>
  </w:num>
  <w:num w:numId="3">
    <w:abstractNumId w:val="1"/>
  </w:num>
  <w:num w:numId="4">
    <w:abstractNumId w:val="3"/>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0346267A"/>
    <w:rsid w:val="0A934F1D"/>
    <w:rsid w:val="0B771EEA"/>
    <w:rsid w:val="0D8E3363"/>
    <w:rsid w:val="0DB560E1"/>
    <w:rsid w:val="12E069F2"/>
    <w:rsid w:val="138A18C9"/>
    <w:rsid w:val="1F773E35"/>
    <w:rsid w:val="25675F0D"/>
    <w:rsid w:val="260D6006"/>
    <w:rsid w:val="26887B84"/>
    <w:rsid w:val="2A1F6C7F"/>
    <w:rsid w:val="2A4D1032"/>
    <w:rsid w:val="2E3D06D0"/>
    <w:rsid w:val="396F7CC5"/>
    <w:rsid w:val="3A3F5D96"/>
    <w:rsid w:val="3B1B314D"/>
    <w:rsid w:val="411E0D05"/>
    <w:rsid w:val="47245CA8"/>
    <w:rsid w:val="4ACA689B"/>
    <w:rsid w:val="56330960"/>
    <w:rsid w:val="5BBF0846"/>
    <w:rsid w:val="5C471205"/>
    <w:rsid w:val="648A4BE2"/>
    <w:rsid w:val="65FA70BA"/>
    <w:rsid w:val="6E733812"/>
    <w:rsid w:val="6EBD74E5"/>
    <w:rsid w:val="6F7726F1"/>
    <w:rsid w:val="718252A8"/>
    <w:rsid w:val="7253235E"/>
    <w:rsid w:val="730E238D"/>
    <w:rsid w:val="754522A6"/>
    <w:rsid w:val="77CB78A7"/>
    <w:rsid w:val="7A060A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paragraph" w:customStyle="1" w:styleId="4">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39</TotalTime>
  <ScaleCrop>false</ScaleCrop>
  <LinksUpToDate>false</LinksUpToDate>
  <CharactersWithSpaces>822</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Administrator</cp:lastModifiedBy>
  <cp:lastPrinted>2020-04-24T01:52:39Z</cp:lastPrinted>
  <dcterms:modified xsi:type="dcterms:W3CDTF">2020-04-24T01:53:42Z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