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5FFAE5D">
      <w:pPr>
        <w:rPr>
          <w:rFonts w:ascii="仿宋_GB2312" w:hAnsi="宋体" w:eastAsia="仿宋_GB2312" w:cs="仿宋_GB2312"/>
          <w:sz w:val="32"/>
          <w:szCs w:val="32"/>
        </w:rPr>
      </w:pPr>
      <w:r>
        <w:rPr>
          <w:rFonts w:hint="eastAsia" w:ascii="仿宋_GB2312" w:hAnsi="宋体" w:eastAsia="仿宋_GB2312" w:cs="仿宋_GB2312"/>
          <w:sz w:val="32"/>
          <w:szCs w:val="32"/>
        </w:rPr>
        <w:t>附件</w:t>
      </w:r>
      <w:r>
        <w:rPr>
          <w:rFonts w:ascii="仿宋_GB2312" w:hAnsi="宋体" w:eastAsia="仿宋_GB2312" w:cs="仿宋_GB2312"/>
          <w:sz w:val="32"/>
          <w:szCs w:val="32"/>
        </w:rPr>
        <w:t>2</w:t>
      </w:r>
    </w:p>
    <w:p w14:paraId="3F11907A">
      <w:pPr>
        <w:spacing w:line="360" w:lineRule="auto"/>
        <w:jc w:val="center"/>
        <w:rPr>
          <w:rFonts w:ascii="宋体"/>
          <w:sz w:val="36"/>
          <w:szCs w:val="36"/>
        </w:rPr>
      </w:pPr>
      <w:r>
        <w:rPr>
          <w:rFonts w:hint="eastAsia" w:ascii="宋体" w:hAnsi="宋体" w:cs="宋体"/>
          <w:sz w:val="36"/>
          <w:szCs w:val="36"/>
        </w:rPr>
        <w:t>藁城区廉州镇人民政府对信访事务专项资金项目</w:t>
      </w:r>
    </w:p>
    <w:p w14:paraId="123DA74F">
      <w:pPr>
        <w:spacing w:line="360" w:lineRule="auto"/>
        <w:jc w:val="center"/>
        <w:rPr>
          <w:rFonts w:ascii="华文楷体" w:eastAsia="华文楷体"/>
          <w:sz w:val="32"/>
          <w:szCs w:val="32"/>
        </w:rPr>
      </w:pPr>
      <w:r>
        <w:rPr>
          <w:rFonts w:ascii="宋体" w:hAnsi="宋体" w:cs="宋体"/>
          <w:sz w:val="36"/>
          <w:szCs w:val="36"/>
        </w:rPr>
        <w:t>2018</w:t>
      </w:r>
      <w:r>
        <w:rPr>
          <w:rFonts w:hint="eastAsia" w:ascii="宋体" w:hAnsi="宋体" w:cs="宋体"/>
          <w:sz w:val="36"/>
          <w:szCs w:val="36"/>
        </w:rPr>
        <w:t>年度绩效自评报告</w:t>
      </w:r>
    </w:p>
    <w:p w14:paraId="2D863DC1">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cs="仿宋_GB2312"/>
          <w:sz w:val="32"/>
          <w:szCs w:val="32"/>
        </w:rPr>
        <w:t>根据《藁城区财政局关于开展财政专项资金部门绩效自评价及财政重点绩效评价的工作方案》（藁财【</w:t>
      </w:r>
      <w:r>
        <w:rPr>
          <w:rFonts w:ascii="仿宋_GB2312" w:eastAsia="仿宋_GB2312" w:cs="仿宋_GB2312"/>
          <w:sz w:val="32"/>
          <w:szCs w:val="32"/>
        </w:rPr>
        <w:t>2019</w:t>
      </w:r>
      <w:r>
        <w:rPr>
          <w:rFonts w:hint="eastAsia" w:ascii="仿宋_GB2312" w:eastAsia="仿宋_GB2312" w:cs="仿宋_GB2312"/>
          <w:sz w:val="32"/>
          <w:szCs w:val="32"/>
        </w:rPr>
        <w:t>】</w:t>
      </w:r>
      <w:r>
        <w:rPr>
          <w:rFonts w:ascii="仿宋_GB2312" w:eastAsia="仿宋_GB2312" w:cs="仿宋_GB2312"/>
          <w:sz w:val="32"/>
          <w:szCs w:val="32"/>
        </w:rPr>
        <w:t xml:space="preserve"> </w:t>
      </w:r>
      <w:r>
        <w:rPr>
          <w:rFonts w:hint="eastAsia" w:ascii="仿宋_GB2312" w:eastAsia="仿宋_GB2312" w:cs="仿宋_GB2312"/>
          <w:sz w:val="32"/>
          <w:szCs w:val="32"/>
        </w:rPr>
        <w:t>号），遵循“科学性、规范性、客观性和公正性”的原则，对我单位信访事务项目实施了绩效评价，形成本评价报告。</w:t>
      </w:r>
    </w:p>
    <w:p w14:paraId="4BE8E4BE">
      <w:pPr>
        <w:adjustRightInd w:val="0"/>
        <w:snapToGrid w:val="0"/>
        <w:spacing w:line="360" w:lineRule="auto"/>
        <w:rPr>
          <w:rFonts w:ascii="黑体" w:eastAsia="黑体"/>
          <w:b/>
          <w:bCs/>
          <w:sz w:val="32"/>
          <w:szCs w:val="32"/>
        </w:rPr>
      </w:pPr>
      <w:r>
        <w:rPr>
          <w:rFonts w:ascii="黑体" w:eastAsia="黑体" w:cs="黑体"/>
          <w:sz w:val="32"/>
          <w:szCs w:val="32"/>
        </w:rPr>
        <w:t xml:space="preserve">    </w:t>
      </w:r>
      <w:r>
        <w:rPr>
          <w:rFonts w:hint="eastAsia" w:ascii="黑体" w:eastAsia="黑体" w:cs="黑体"/>
          <w:sz w:val="32"/>
          <w:szCs w:val="32"/>
        </w:rPr>
        <w:t>一、项目基本情况</w:t>
      </w:r>
    </w:p>
    <w:p w14:paraId="3F1331EA">
      <w:pPr>
        <w:adjustRightInd w:val="0"/>
        <w:snapToGrid w:val="0"/>
        <w:spacing w:line="360" w:lineRule="auto"/>
        <w:ind w:firstLine="640" w:firstLineChars="200"/>
        <w:rPr>
          <w:rFonts w:ascii="楷体_GB2312" w:hAnsi="楷体_GB2312" w:eastAsia="楷体_GB2312"/>
          <w:sz w:val="32"/>
          <w:szCs w:val="32"/>
        </w:rPr>
      </w:pPr>
      <w:r>
        <w:rPr>
          <w:rFonts w:hint="eastAsia" w:ascii="楷体_GB2312" w:hAnsi="楷体_GB2312" w:eastAsia="楷体_GB2312" w:cs="楷体_GB2312"/>
          <w:sz w:val="32"/>
          <w:szCs w:val="32"/>
        </w:rPr>
        <w:t>（一）项目概况</w:t>
      </w:r>
    </w:p>
    <w:p w14:paraId="76DC726D">
      <w:pPr>
        <w:adjustRightInd w:val="0"/>
        <w:snapToGrid w:val="0"/>
        <w:spacing w:line="360" w:lineRule="auto"/>
        <w:ind w:firstLine="640" w:firstLineChars="200"/>
        <w:rPr>
          <w:rFonts w:ascii="仿宋_GB2312" w:eastAsia="仿宋_GB2312"/>
          <w:sz w:val="32"/>
          <w:szCs w:val="32"/>
        </w:rPr>
      </w:pPr>
      <w:r>
        <w:rPr>
          <w:rFonts w:ascii="仿宋_GB2312" w:eastAsia="仿宋_GB2312" w:cs="仿宋_GB2312"/>
          <w:sz w:val="32"/>
          <w:szCs w:val="32"/>
        </w:rPr>
        <w:t xml:space="preserve"> 1.</w:t>
      </w:r>
      <w:r>
        <w:rPr>
          <w:rFonts w:hint="eastAsia" w:ascii="仿宋_GB2312" w:eastAsia="仿宋_GB2312" w:cs="仿宋_GB2312"/>
          <w:sz w:val="32"/>
          <w:szCs w:val="32"/>
        </w:rPr>
        <w:t>项目实施单位及项目立项等基本情况；</w:t>
      </w:r>
    </w:p>
    <w:p w14:paraId="63FCB7AA">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cs="仿宋_GB2312"/>
          <w:sz w:val="32"/>
          <w:szCs w:val="32"/>
        </w:rPr>
        <w:t>根据上级部门下达的开展信访积案化解、及信访维稳工作专项治理的有关要求。</w:t>
      </w:r>
    </w:p>
    <w:p w14:paraId="1E8815E4">
      <w:pPr>
        <w:numPr>
          <w:ilvl w:val="0"/>
          <w:numId w:val="1"/>
        </w:numPr>
        <w:adjustRightInd w:val="0"/>
        <w:snapToGrid w:val="0"/>
        <w:spacing w:line="360" w:lineRule="auto"/>
        <w:rPr>
          <w:rFonts w:ascii="仿宋_GB2312" w:eastAsia="仿宋_GB2312"/>
          <w:sz w:val="32"/>
          <w:szCs w:val="32"/>
        </w:rPr>
      </w:pPr>
      <w:r>
        <w:rPr>
          <w:rFonts w:hint="eastAsia" w:ascii="仿宋_GB2312" w:eastAsia="仿宋_GB2312" w:cs="仿宋_GB2312"/>
          <w:sz w:val="32"/>
          <w:szCs w:val="32"/>
        </w:rPr>
        <w:t>项目主要实施内容和范围；</w:t>
      </w:r>
    </w:p>
    <w:p w14:paraId="2EAE4A05">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cs="仿宋_GB2312"/>
          <w:sz w:val="32"/>
          <w:szCs w:val="32"/>
        </w:rPr>
        <w:t>该项目主要用于指导、协调和督导各级各部门排查、化解影响社会稳定的重大不稳定隐患、群体事件和突发事件。</w:t>
      </w:r>
    </w:p>
    <w:p w14:paraId="725AB7D0">
      <w:pPr>
        <w:numPr>
          <w:ilvl w:val="0"/>
          <w:numId w:val="1"/>
        </w:numPr>
        <w:adjustRightInd w:val="0"/>
        <w:snapToGrid w:val="0"/>
        <w:spacing w:line="360" w:lineRule="auto"/>
        <w:ind w:left="220" w:firstLine="579" w:firstLineChars="181"/>
        <w:rPr>
          <w:rFonts w:ascii="仿宋_GB2312" w:eastAsia="仿宋_GB2312"/>
          <w:sz w:val="32"/>
          <w:szCs w:val="32"/>
        </w:rPr>
      </w:pPr>
      <w:r>
        <w:rPr>
          <w:rFonts w:hint="eastAsia" w:ascii="仿宋_GB2312" w:eastAsia="仿宋_GB2312" w:cs="仿宋_GB2312"/>
          <w:sz w:val="32"/>
          <w:szCs w:val="32"/>
        </w:rPr>
        <w:t>项目资金投入情况（资金数量、资金结构、资金来源渠道等）</w:t>
      </w:r>
    </w:p>
    <w:p w14:paraId="5F39C185">
      <w:pPr>
        <w:adjustRightInd w:val="0"/>
        <w:snapToGrid w:val="0"/>
        <w:spacing w:line="360" w:lineRule="auto"/>
        <w:ind w:firstLine="640" w:firstLineChars="200"/>
        <w:rPr>
          <w:rFonts w:ascii="仿宋_GB2312" w:eastAsia="仿宋_GB2312"/>
          <w:color w:val="0000FF"/>
          <w:sz w:val="32"/>
          <w:szCs w:val="32"/>
        </w:rPr>
      </w:pPr>
      <w:r>
        <w:rPr>
          <w:rFonts w:hint="eastAsia" w:ascii="仿宋_GB2312" w:eastAsia="仿宋_GB2312" w:cs="仿宋_GB2312"/>
          <w:sz w:val="32"/>
          <w:szCs w:val="32"/>
        </w:rPr>
        <w:t>廉州镇财政投入</w:t>
      </w:r>
      <w:r>
        <w:rPr>
          <w:rFonts w:ascii="仿宋_GB2312" w:eastAsia="仿宋_GB2312" w:cs="仿宋_GB2312"/>
          <w:sz w:val="32"/>
          <w:szCs w:val="32"/>
        </w:rPr>
        <w:t>150</w:t>
      </w:r>
      <w:r>
        <w:rPr>
          <w:rFonts w:hint="eastAsia" w:ascii="仿宋_GB2312" w:eastAsia="仿宋_GB2312" w:cs="仿宋_GB2312"/>
          <w:sz w:val="32"/>
          <w:szCs w:val="32"/>
        </w:rPr>
        <w:t>万元，用于廉州镇信访事务维稳项目工作，</w:t>
      </w:r>
      <w:r>
        <w:rPr>
          <w:rFonts w:hint="eastAsia" w:ascii="仿宋" w:hAnsi="仿宋" w:eastAsia="仿宋" w:cs="仿宋"/>
          <w:color w:val="000000"/>
          <w:sz w:val="32"/>
          <w:szCs w:val="32"/>
        </w:rPr>
        <w:t>资金来源为一般公共预算。</w:t>
      </w:r>
    </w:p>
    <w:p w14:paraId="02319BDD">
      <w:pPr>
        <w:adjustRightInd w:val="0"/>
        <w:snapToGrid w:val="0"/>
        <w:spacing w:line="360" w:lineRule="auto"/>
        <w:ind w:firstLine="800" w:firstLineChars="250"/>
        <w:rPr>
          <w:rFonts w:ascii="仿宋_GB2312" w:eastAsia="仿宋_GB2312"/>
          <w:sz w:val="32"/>
          <w:szCs w:val="32"/>
        </w:rPr>
      </w:pPr>
      <w:r>
        <w:rPr>
          <w:rFonts w:ascii="仿宋_GB2312" w:eastAsia="仿宋_GB2312" w:cs="仿宋_GB2312"/>
          <w:sz w:val="32"/>
          <w:szCs w:val="32"/>
        </w:rPr>
        <w:t>4.</w:t>
      </w:r>
      <w:r>
        <w:rPr>
          <w:rFonts w:hint="eastAsia" w:ascii="仿宋_GB2312" w:eastAsia="仿宋_GB2312" w:cs="仿宋_GB2312"/>
          <w:sz w:val="32"/>
          <w:szCs w:val="32"/>
        </w:rPr>
        <w:t>项目实施过程</w:t>
      </w:r>
    </w:p>
    <w:p w14:paraId="4DB7B322">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cs="仿宋_GB2312"/>
          <w:sz w:val="32"/>
          <w:szCs w:val="32"/>
        </w:rPr>
        <w:t>（</w:t>
      </w:r>
      <w:r>
        <w:rPr>
          <w:rFonts w:ascii="仿宋_GB2312" w:eastAsia="仿宋_GB2312" w:cs="仿宋_GB2312"/>
          <w:sz w:val="32"/>
          <w:szCs w:val="32"/>
        </w:rPr>
        <w:t>1</w:t>
      </w:r>
      <w:r>
        <w:rPr>
          <w:rFonts w:hint="eastAsia" w:ascii="仿宋_GB2312" w:eastAsia="仿宋_GB2312" w:cs="仿宋_GB2312"/>
          <w:sz w:val="32"/>
          <w:szCs w:val="32"/>
        </w:rPr>
        <w:t>）廉州镇人民政府做为项目主体负责调解村上报民事案件，开展信访积案攻坚治理，重点信访专项治理及涉众重点群体治理。</w:t>
      </w:r>
    </w:p>
    <w:p w14:paraId="26EA80B2">
      <w:pPr>
        <w:spacing w:line="360" w:lineRule="auto"/>
        <w:jc w:val="left"/>
        <w:rPr>
          <w:rFonts w:ascii="仿宋_GB2312" w:eastAsia="仿宋_GB2312"/>
          <w:sz w:val="32"/>
          <w:szCs w:val="32"/>
        </w:rPr>
      </w:pPr>
      <w:r>
        <w:rPr>
          <w:rFonts w:ascii="仿宋_GB2312" w:eastAsia="仿宋_GB2312" w:cs="仿宋_GB2312"/>
          <w:sz w:val="32"/>
          <w:szCs w:val="32"/>
        </w:rPr>
        <w:t xml:space="preserve">    </w:t>
      </w:r>
      <w:r>
        <w:rPr>
          <w:rFonts w:hint="eastAsia" w:ascii="仿宋_GB2312" w:eastAsia="仿宋_GB2312" w:cs="仿宋_GB2312"/>
          <w:sz w:val="32"/>
          <w:szCs w:val="32"/>
        </w:rPr>
        <w:t>（</w:t>
      </w:r>
      <w:r>
        <w:rPr>
          <w:rFonts w:ascii="仿宋_GB2312" w:eastAsia="仿宋_GB2312" w:cs="仿宋_GB2312"/>
          <w:sz w:val="32"/>
          <w:szCs w:val="32"/>
        </w:rPr>
        <w:t>2</w:t>
      </w:r>
      <w:r>
        <w:rPr>
          <w:rFonts w:hint="eastAsia" w:ascii="仿宋_GB2312" w:eastAsia="仿宋_GB2312" w:cs="仿宋_GB2312"/>
          <w:sz w:val="32"/>
          <w:szCs w:val="32"/>
        </w:rPr>
        <w:t>）财务管理。</w:t>
      </w:r>
      <w:r>
        <w:rPr>
          <w:rFonts w:hint="eastAsia" w:ascii="仿宋" w:hAnsi="仿宋" w:eastAsia="仿宋" w:cs="仿宋"/>
          <w:color w:val="000000"/>
          <w:sz w:val="32"/>
          <w:szCs w:val="32"/>
        </w:rPr>
        <w:t>廉州镇人民政府对信访事务项资金实施过程中，严格遵守国家财经法规和财务管理制度以及有关专项资金管理办法的规定。资金的拨付有完整的审批程序和手续，符合项目预算批复或合同规定的用途。相关资金使用账目清晰、资金票据及相关附件齐全，资金使用合规、可控。</w:t>
      </w:r>
    </w:p>
    <w:p w14:paraId="284AD667">
      <w:pPr>
        <w:adjustRightInd w:val="0"/>
        <w:snapToGrid w:val="0"/>
        <w:spacing w:line="360" w:lineRule="auto"/>
        <w:ind w:firstLine="640" w:firstLineChars="200"/>
        <w:rPr>
          <w:rFonts w:ascii="楷体_GB2312" w:hAnsi="楷体_GB2312" w:eastAsia="楷体_GB2312"/>
          <w:b/>
          <w:bCs/>
          <w:sz w:val="32"/>
          <w:szCs w:val="32"/>
        </w:rPr>
      </w:pPr>
      <w:r>
        <w:rPr>
          <w:rFonts w:hint="eastAsia" w:ascii="楷体_GB2312" w:hAnsi="楷体_GB2312" w:eastAsia="楷体_GB2312" w:cs="楷体_GB2312"/>
          <w:sz w:val="32"/>
          <w:szCs w:val="32"/>
        </w:rPr>
        <w:t>（二）项目预期绩效目标</w:t>
      </w:r>
    </w:p>
    <w:p w14:paraId="208A9065">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cs="仿宋_GB2312"/>
          <w:sz w:val="32"/>
          <w:szCs w:val="32"/>
        </w:rPr>
        <w:t>项目预期绩效总目标：预防减少不稳定因素的发生，有效化解不稳定隐患、群体性事件和突发事件，保证信访人到镇</w:t>
      </w:r>
      <w:r>
        <w:rPr>
          <w:rFonts w:hint="eastAsia" w:ascii="仿宋_GB2312" w:eastAsia="仿宋_GB2312" w:cs="仿宋_GB2312"/>
          <w:sz w:val="32"/>
          <w:szCs w:val="32"/>
          <w:lang w:val="en-US" w:eastAsia="zh-CN"/>
        </w:rPr>
        <w:t>反映</w:t>
      </w:r>
      <w:r>
        <w:rPr>
          <w:rFonts w:hint="eastAsia" w:ascii="仿宋_GB2312" w:eastAsia="仿宋_GB2312" w:cs="仿宋_GB2312"/>
          <w:sz w:val="32"/>
          <w:szCs w:val="32"/>
        </w:rPr>
        <w:t>问题时有专人接待，并能够</w:t>
      </w:r>
      <w:bookmarkStart w:id="0" w:name="_GoBack"/>
      <w:bookmarkEnd w:id="0"/>
      <w:r>
        <w:rPr>
          <w:rFonts w:hint="eastAsia" w:ascii="仿宋_GB2312" w:eastAsia="仿宋_GB2312" w:cs="仿宋_GB2312"/>
          <w:sz w:val="32"/>
          <w:szCs w:val="32"/>
        </w:rPr>
        <w:t>负责信访事件的跟踪保证信访事件的解决，不出现超级上访，群访事件，保障基层坚实稳固、礼会和谐稳定，努力实现进京赴省访大幅下降。</w:t>
      </w:r>
    </w:p>
    <w:p w14:paraId="140AC00B">
      <w:pPr>
        <w:ind w:firstLine="660"/>
        <w:rPr>
          <w:rFonts w:ascii="黑体" w:hAnsi="黑体" w:eastAsia="黑体"/>
          <w:sz w:val="32"/>
          <w:szCs w:val="32"/>
        </w:rPr>
      </w:pPr>
      <w:r>
        <w:rPr>
          <w:rFonts w:hint="eastAsia" w:ascii="黑体" w:hAnsi="黑体" w:eastAsia="黑体" w:cs="黑体"/>
          <w:sz w:val="32"/>
          <w:szCs w:val="32"/>
        </w:rPr>
        <w:t>二、绩效评价工作情况</w:t>
      </w:r>
    </w:p>
    <w:p w14:paraId="064EF7D5">
      <w:pPr>
        <w:ind w:firstLine="633" w:firstLineChars="198"/>
        <w:rPr>
          <w:rFonts w:ascii="楷体_GB2312" w:hAnsi="楷体_GB2312" w:eastAsia="楷体_GB2312"/>
          <w:sz w:val="32"/>
          <w:szCs w:val="32"/>
        </w:rPr>
      </w:pPr>
      <w:r>
        <w:rPr>
          <w:rFonts w:hint="eastAsia" w:ascii="楷体_GB2312" w:hAnsi="楷体_GB2312" w:eastAsia="楷体_GB2312" w:cs="楷体_GB2312"/>
          <w:sz w:val="32"/>
          <w:szCs w:val="32"/>
        </w:rPr>
        <w:t>（一）绩效评价工作情况</w:t>
      </w:r>
    </w:p>
    <w:p w14:paraId="7E141D79">
      <w:pPr>
        <w:ind w:firstLine="640" w:firstLineChars="200"/>
        <w:rPr>
          <w:rFonts w:ascii="楷体_GB2312" w:hAnsi="楷体_GB2312" w:eastAsia="楷体_GB2312"/>
          <w:sz w:val="32"/>
          <w:szCs w:val="32"/>
        </w:rPr>
      </w:pPr>
      <w:r>
        <w:rPr>
          <w:rFonts w:hint="eastAsia" w:ascii="仿宋" w:hAnsi="仿宋" w:eastAsia="仿宋" w:cs="仿宋"/>
          <w:color w:val="000000"/>
          <w:sz w:val="32"/>
          <w:szCs w:val="32"/>
        </w:rPr>
        <w:t>主要对</w:t>
      </w:r>
      <w:r>
        <w:rPr>
          <w:rFonts w:ascii="仿宋" w:hAnsi="仿宋" w:eastAsia="仿宋" w:cs="仿宋"/>
          <w:color w:val="000000"/>
          <w:sz w:val="32"/>
          <w:szCs w:val="32"/>
        </w:rPr>
        <w:t>2018</w:t>
      </w:r>
      <w:r>
        <w:rPr>
          <w:rFonts w:hint="eastAsia" w:ascii="仿宋" w:hAnsi="仿宋" w:eastAsia="仿宋" w:cs="仿宋"/>
          <w:color w:val="000000"/>
          <w:sz w:val="32"/>
          <w:szCs w:val="32"/>
        </w:rPr>
        <w:t>年度我单位信访事务维稳</w:t>
      </w:r>
      <w:r>
        <w:rPr>
          <w:rFonts w:hint="eastAsia" w:ascii="仿宋" w:hAnsi="仿宋" w:eastAsia="仿宋" w:cs="仿宋"/>
          <w:sz w:val="32"/>
          <w:szCs w:val="32"/>
        </w:rPr>
        <w:t>资金项目</w:t>
      </w:r>
      <w:r>
        <w:rPr>
          <w:rFonts w:hint="eastAsia" w:ascii="仿宋" w:hAnsi="仿宋" w:eastAsia="仿宋" w:cs="仿宋"/>
          <w:color w:val="000000"/>
          <w:sz w:val="32"/>
          <w:szCs w:val="32"/>
        </w:rPr>
        <w:t>中涉及到的财政支出的经济性、效率性及效益性进行重点评价，并针对评价内容做出分析及合理化建议。</w:t>
      </w:r>
    </w:p>
    <w:p w14:paraId="0B594B63">
      <w:pPr>
        <w:numPr>
          <w:ilvl w:val="0"/>
          <w:numId w:val="2"/>
        </w:numPr>
        <w:ind w:firstLine="633" w:firstLineChars="198"/>
        <w:rPr>
          <w:rFonts w:ascii="楷体_GB2312" w:hAnsi="楷体_GB2312" w:eastAsia="楷体_GB2312"/>
          <w:sz w:val="32"/>
          <w:szCs w:val="32"/>
        </w:rPr>
      </w:pPr>
      <w:r>
        <w:rPr>
          <w:rFonts w:hint="eastAsia" w:ascii="楷体_GB2312" w:hAnsi="楷体_GB2312" w:eastAsia="楷体_GB2312" w:cs="楷体_GB2312"/>
          <w:sz w:val="32"/>
          <w:szCs w:val="32"/>
        </w:rPr>
        <w:t>绩效评价的方法和过程</w:t>
      </w:r>
    </w:p>
    <w:p w14:paraId="095CF05F">
      <w:pPr>
        <w:ind w:firstLine="640" w:firstLineChars="200"/>
        <w:rPr>
          <w:rFonts w:ascii="楷体_GB2312" w:hAnsi="楷体_GB2312" w:eastAsia="楷体_GB2312"/>
          <w:sz w:val="32"/>
          <w:szCs w:val="32"/>
        </w:rPr>
      </w:pPr>
      <w:r>
        <w:rPr>
          <w:rFonts w:hint="eastAsia" w:ascii="仿宋" w:hAnsi="仿宋" w:eastAsia="仿宋" w:cs="仿宋"/>
          <w:color w:val="000000"/>
          <w:sz w:val="32"/>
          <w:szCs w:val="32"/>
        </w:rPr>
        <w:t>根据上级反馈的井京赴省案件下降数量及重点积案化解率等开展绩效评价。</w:t>
      </w:r>
    </w:p>
    <w:p w14:paraId="55CAB757">
      <w:pPr>
        <w:ind w:firstLine="633" w:firstLineChars="198"/>
        <w:rPr>
          <w:rFonts w:ascii="黑体" w:hAnsi="黑体" w:eastAsia="黑体"/>
          <w:sz w:val="32"/>
          <w:szCs w:val="32"/>
        </w:rPr>
      </w:pPr>
      <w:r>
        <w:rPr>
          <w:rFonts w:hint="eastAsia" w:ascii="黑体" w:hAnsi="黑体" w:eastAsia="黑体" w:cs="黑体"/>
          <w:sz w:val="32"/>
          <w:szCs w:val="32"/>
        </w:rPr>
        <w:t>三、项目执行及绩效实际情况</w:t>
      </w:r>
    </w:p>
    <w:p w14:paraId="242D659F">
      <w:pPr>
        <w:ind w:firstLine="633" w:firstLineChars="198"/>
        <w:rPr>
          <w:rFonts w:ascii="仿宋_GB2312" w:eastAsia="仿宋_GB2312"/>
          <w:sz w:val="32"/>
          <w:szCs w:val="32"/>
        </w:rPr>
      </w:pPr>
      <w:r>
        <w:rPr>
          <w:rFonts w:hint="eastAsia" w:ascii="楷体_GB2312" w:hAnsi="楷体_GB2312" w:eastAsia="楷体_GB2312" w:cs="楷体_GB2312"/>
          <w:sz w:val="32"/>
          <w:szCs w:val="32"/>
        </w:rPr>
        <w:t>（一）产出指标完成情况分析</w:t>
      </w:r>
    </w:p>
    <w:p w14:paraId="604960F9">
      <w:pPr>
        <w:ind w:firstLine="640" w:firstLineChars="200"/>
        <w:rPr>
          <w:rFonts w:ascii="仿宋_GB2312" w:eastAsia="仿宋_GB2312"/>
          <w:sz w:val="32"/>
          <w:szCs w:val="32"/>
        </w:rPr>
      </w:pPr>
      <w:r>
        <w:rPr>
          <w:rFonts w:ascii="仿宋_GB2312" w:eastAsia="仿宋_GB2312" w:cs="仿宋_GB2312"/>
          <w:sz w:val="32"/>
          <w:szCs w:val="32"/>
        </w:rPr>
        <w:t>1</w:t>
      </w:r>
      <w:r>
        <w:rPr>
          <w:rFonts w:hint="eastAsia" w:ascii="仿宋_GB2312" w:eastAsia="仿宋_GB2312" w:cs="仿宋_GB2312"/>
          <w:sz w:val="32"/>
          <w:szCs w:val="32"/>
        </w:rPr>
        <w:t>、项目的实际完成率</w:t>
      </w:r>
    </w:p>
    <w:p w14:paraId="2F629F04">
      <w:pPr>
        <w:ind w:firstLine="640" w:firstLineChars="200"/>
        <w:rPr>
          <w:rFonts w:ascii="仿宋_GB2312" w:eastAsia="仿宋_GB2312"/>
          <w:sz w:val="32"/>
          <w:szCs w:val="32"/>
        </w:rPr>
      </w:pPr>
      <w:r>
        <w:rPr>
          <w:rFonts w:hint="eastAsia" w:ascii="仿宋_GB2312" w:eastAsia="仿宋_GB2312" w:cs="仿宋_GB2312"/>
          <w:sz w:val="32"/>
          <w:szCs w:val="32"/>
        </w:rPr>
        <w:t>保障乡镇信访维稳工作正常运行，完成率</w:t>
      </w:r>
      <w:r>
        <w:rPr>
          <w:rFonts w:ascii="仿宋_GB2312" w:eastAsia="仿宋_GB2312" w:cs="仿宋_GB2312"/>
          <w:sz w:val="32"/>
          <w:szCs w:val="32"/>
        </w:rPr>
        <w:t>100%</w:t>
      </w:r>
      <w:r>
        <w:rPr>
          <w:rFonts w:hint="eastAsia" w:ascii="仿宋_GB2312" w:eastAsia="仿宋_GB2312" w:cs="仿宋_GB2312"/>
          <w:sz w:val="32"/>
          <w:szCs w:val="32"/>
        </w:rPr>
        <w:t>。</w:t>
      </w:r>
    </w:p>
    <w:p w14:paraId="3F2F0E6D">
      <w:pPr>
        <w:numPr>
          <w:ilvl w:val="0"/>
          <w:numId w:val="3"/>
        </w:numPr>
        <w:ind w:firstLine="640" w:firstLineChars="200"/>
        <w:rPr>
          <w:rFonts w:ascii="仿宋_GB2312" w:eastAsia="仿宋_GB2312"/>
          <w:sz w:val="32"/>
          <w:szCs w:val="32"/>
        </w:rPr>
      </w:pPr>
      <w:r>
        <w:rPr>
          <w:rFonts w:hint="eastAsia" w:ascii="仿宋_GB2312" w:eastAsia="仿宋_GB2312" w:cs="仿宋_GB2312"/>
          <w:sz w:val="32"/>
          <w:szCs w:val="32"/>
        </w:rPr>
        <w:t>项目完成及时率</w:t>
      </w:r>
    </w:p>
    <w:p w14:paraId="0CA502C6">
      <w:pPr>
        <w:rPr>
          <w:rFonts w:ascii="仿宋_GB2312" w:eastAsia="仿宋_GB2312"/>
          <w:sz w:val="32"/>
          <w:szCs w:val="32"/>
        </w:rPr>
      </w:pPr>
      <w:r>
        <w:rPr>
          <w:rFonts w:ascii="仿宋_GB2312" w:eastAsia="仿宋_GB2312" w:cs="仿宋_GB2312"/>
          <w:sz w:val="32"/>
          <w:szCs w:val="32"/>
        </w:rPr>
        <w:t xml:space="preserve">    </w:t>
      </w:r>
      <w:r>
        <w:rPr>
          <w:rFonts w:hint="eastAsia" w:ascii="仿宋_GB2312" w:eastAsia="仿宋_GB2312" w:cs="仿宋_GB2312"/>
          <w:sz w:val="32"/>
          <w:szCs w:val="32"/>
        </w:rPr>
        <w:t>乡镇信访维稳工作及时完成，及时率</w:t>
      </w:r>
      <w:r>
        <w:rPr>
          <w:rFonts w:ascii="仿宋_GB2312" w:eastAsia="仿宋_GB2312" w:cs="仿宋_GB2312"/>
          <w:sz w:val="32"/>
          <w:szCs w:val="32"/>
        </w:rPr>
        <w:t>100%</w:t>
      </w:r>
      <w:r>
        <w:rPr>
          <w:rFonts w:hint="eastAsia" w:ascii="仿宋_GB2312" w:eastAsia="仿宋_GB2312" w:cs="仿宋_GB2312"/>
          <w:sz w:val="32"/>
          <w:szCs w:val="32"/>
        </w:rPr>
        <w:t>。</w:t>
      </w:r>
    </w:p>
    <w:p w14:paraId="727401FF">
      <w:pPr>
        <w:rPr>
          <w:rFonts w:ascii="楷体_GB2312" w:hAnsi="楷体_GB2312" w:eastAsia="楷体_GB2312"/>
          <w:sz w:val="32"/>
          <w:szCs w:val="32"/>
        </w:rPr>
      </w:pPr>
      <w:r>
        <w:rPr>
          <w:rFonts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（二）效益指标完成情况分析</w:t>
      </w:r>
    </w:p>
    <w:p w14:paraId="2CB8C9F0">
      <w:pPr>
        <w:ind w:firstLine="640" w:firstLineChars="200"/>
        <w:rPr>
          <w:rFonts w:ascii="仿宋_GB2312" w:eastAsia="仿宋_GB2312"/>
          <w:sz w:val="32"/>
          <w:szCs w:val="32"/>
        </w:rPr>
      </w:pPr>
      <w:r>
        <w:rPr>
          <w:rFonts w:hint="eastAsia" w:ascii="仿宋_GB2312" w:eastAsia="仿宋_GB2312" w:cs="仿宋_GB2312"/>
          <w:sz w:val="32"/>
          <w:szCs w:val="32"/>
        </w:rPr>
        <w:t>项目实施的社会效益分析</w:t>
      </w:r>
    </w:p>
    <w:p w14:paraId="2359FADF">
      <w:pPr>
        <w:ind w:firstLine="640" w:firstLineChars="200"/>
        <w:rPr>
          <w:rFonts w:ascii="仿宋_GB2312" w:eastAsia="仿宋_GB2312"/>
          <w:sz w:val="32"/>
          <w:szCs w:val="32"/>
        </w:rPr>
      </w:pPr>
      <w:r>
        <w:rPr>
          <w:rFonts w:hint="eastAsia" w:ascii="仿宋_GB2312" w:eastAsia="仿宋_GB2312" w:cs="仿宋_GB2312"/>
          <w:sz w:val="32"/>
          <w:szCs w:val="32"/>
        </w:rPr>
        <w:t>解决廉州镇辖区各种信访案件化解、积极排查矛盾隐患，对疏理的重点问题做到因案施策。</w:t>
      </w:r>
    </w:p>
    <w:p w14:paraId="15B55AA5">
      <w:pPr>
        <w:numPr>
          <w:ilvl w:val="0"/>
          <w:numId w:val="2"/>
        </w:numPr>
        <w:ind w:firstLine="633" w:firstLineChars="198"/>
        <w:rPr>
          <w:rFonts w:ascii="仿宋_GB2312" w:eastAsia="仿宋_GB2312"/>
          <w:sz w:val="32"/>
          <w:szCs w:val="32"/>
        </w:rPr>
      </w:pPr>
      <w:r>
        <w:rPr>
          <w:rFonts w:hint="eastAsia" w:ascii="仿宋_GB2312" w:eastAsia="仿宋_GB2312" w:cs="仿宋_GB2312"/>
          <w:sz w:val="32"/>
          <w:szCs w:val="32"/>
        </w:rPr>
        <w:t>满意度指标完成情况分析</w:t>
      </w:r>
    </w:p>
    <w:p w14:paraId="6B52BD0F">
      <w:pPr>
        <w:ind w:left="416" w:leftChars="198"/>
        <w:rPr>
          <w:rFonts w:ascii="仿宋_GB2312" w:eastAsia="仿宋_GB2312"/>
          <w:sz w:val="32"/>
          <w:szCs w:val="32"/>
        </w:rPr>
      </w:pPr>
      <w:r>
        <w:rPr>
          <w:rFonts w:ascii="仿宋_GB2312" w:eastAsia="仿宋_GB2312" w:cs="仿宋_GB2312"/>
          <w:sz w:val="32"/>
          <w:szCs w:val="32"/>
        </w:rPr>
        <w:t xml:space="preserve"> </w:t>
      </w:r>
      <w:r>
        <w:rPr>
          <w:rFonts w:hint="eastAsia" w:ascii="仿宋_GB2312" w:eastAsia="仿宋_GB2312" w:cs="仿宋_GB2312"/>
          <w:sz w:val="32"/>
          <w:szCs w:val="32"/>
        </w:rPr>
        <w:t>解决廉州镇民事上访维稳案件，满意度</w:t>
      </w:r>
      <w:r>
        <w:rPr>
          <w:rFonts w:ascii="仿宋_GB2312" w:eastAsia="仿宋_GB2312" w:cs="仿宋_GB2312"/>
          <w:sz w:val="32"/>
          <w:szCs w:val="32"/>
        </w:rPr>
        <w:t>100%</w:t>
      </w:r>
      <w:r>
        <w:rPr>
          <w:rFonts w:hint="eastAsia" w:ascii="仿宋_GB2312" w:eastAsia="仿宋_GB2312" w:cs="仿宋_GB2312"/>
          <w:sz w:val="32"/>
          <w:szCs w:val="32"/>
        </w:rPr>
        <w:t>。</w:t>
      </w:r>
    </w:p>
    <w:p w14:paraId="3D49E247">
      <w:pPr>
        <w:ind w:firstLine="640" w:firstLineChars="200"/>
        <w:rPr>
          <w:rFonts w:ascii="黑体" w:hAnsi="黑体" w:eastAsia="黑体"/>
          <w:sz w:val="32"/>
          <w:szCs w:val="32"/>
        </w:rPr>
      </w:pPr>
      <w:r>
        <w:rPr>
          <w:rFonts w:hint="eastAsia" w:ascii="黑体" w:hAnsi="黑体" w:eastAsia="黑体" w:cs="黑体"/>
          <w:sz w:val="32"/>
          <w:szCs w:val="32"/>
        </w:rPr>
        <w:t>四、项目综合评价结论和评价等级</w:t>
      </w:r>
    </w:p>
    <w:p w14:paraId="28ABDC7B">
      <w:pPr>
        <w:ind w:firstLine="640" w:firstLineChars="200"/>
        <w:rPr>
          <w:rFonts w:ascii="仿宋" w:hAnsi="仿宋" w:eastAsia="仿宋"/>
          <w:sz w:val="32"/>
          <w:szCs w:val="32"/>
        </w:rPr>
      </w:pPr>
      <w:r>
        <w:rPr>
          <w:rFonts w:ascii="仿宋_GB2312" w:eastAsia="仿宋_GB2312" w:cs="仿宋_GB2312"/>
          <w:sz w:val="32"/>
          <w:szCs w:val="32"/>
        </w:rPr>
        <w:t>2018</w:t>
      </w:r>
      <w:r>
        <w:rPr>
          <w:rFonts w:hint="eastAsia" w:ascii="仿宋_GB2312" w:eastAsia="仿宋_GB2312" w:cs="仿宋_GB2312"/>
          <w:sz w:val="32"/>
          <w:szCs w:val="32"/>
        </w:rPr>
        <w:t>年</w:t>
      </w:r>
      <w:r>
        <w:rPr>
          <w:rFonts w:hint="eastAsia" w:ascii="仿宋" w:hAnsi="仿宋" w:eastAsia="仿宋" w:cs="仿宋"/>
          <w:color w:val="000000"/>
          <w:sz w:val="32"/>
          <w:szCs w:val="32"/>
        </w:rPr>
        <w:t>廉州镇信访事务</w:t>
      </w:r>
      <w:r>
        <w:rPr>
          <w:rFonts w:hint="eastAsia" w:ascii="仿宋" w:hAnsi="仿宋" w:eastAsia="仿宋" w:cs="仿宋"/>
          <w:sz w:val="32"/>
          <w:szCs w:val="32"/>
        </w:rPr>
        <w:t>资金项目</w:t>
      </w:r>
      <w:r>
        <w:rPr>
          <w:rFonts w:hint="eastAsia" w:ascii="仿宋_GB2312" w:eastAsia="仿宋_GB2312" w:cs="仿宋_GB2312"/>
          <w:sz w:val="32"/>
          <w:szCs w:val="32"/>
        </w:rPr>
        <w:t>绩效评价总分</w:t>
      </w:r>
      <w:r>
        <w:rPr>
          <w:rFonts w:ascii="仿宋_GB2312" w:eastAsia="仿宋_GB2312" w:cs="仿宋_GB2312"/>
          <w:sz w:val="32"/>
          <w:szCs w:val="32"/>
        </w:rPr>
        <w:t>90</w:t>
      </w:r>
      <w:r>
        <w:rPr>
          <w:rFonts w:hint="eastAsia" w:ascii="仿宋_GB2312" w:eastAsia="仿宋_GB2312" w:cs="仿宋_GB2312"/>
          <w:sz w:val="32"/>
          <w:szCs w:val="32"/>
        </w:rPr>
        <w:t>分，绩效评价等级为优秀。</w:t>
      </w:r>
    </w:p>
    <w:p w14:paraId="357C087E">
      <w:pPr>
        <w:ind w:firstLine="640" w:firstLineChars="200"/>
        <w:rPr>
          <w:rFonts w:ascii="仿宋_GB2312" w:eastAsia="仿宋_GB2312"/>
          <w:sz w:val="32"/>
          <w:szCs w:val="32"/>
        </w:rPr>
      </w:pPr>
      <w:r>
        <w:rPr>
          <w:rFonts w:hint="eastAsia" w:ascii="黑体" w:hAnsi="黑体" w:eastAsia="黑体" w:cs="黑体"/>
          <w:sz w:val="32"/>
          <w:szCs w:val="32"/>
        </w:rPr>
        <w:t>五、存在的问题及改进措施</w:t>
      </w:r>
    </w:p>
    <w:p w14:paraId="152D32DC">
      <w:pPr>
        <w:rPr>
          <w:rFonts w:ascii="楷体_GB2312" w:hAnsi="楷体_GB2312" w:eastAsia="楷体_GB2312"/>
          <w:sz w:val="32"/>
          <w:szCs w:val="32"/>
        </w:rPr>
      </w:pPr>
      <w:r>
        <w:rPr>
          <w:rFonts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（一）项目存在的主要问题</w:t>
      </w:r>
    </w:p>
    <w:p w14:paraId="4A8B0B81">
      <w:pPr>
        <w:ind w:firstLine="640" w:firstLineChars="200"/>
        <w:rPr>
          <w:rFonts w:ascii="楷体_GB2312" w:hAnsi="楷体_GB2312" w:eastAsia="楷体_GB2312"/>
          <w:sz w:val="32"/>
          <w:szCs w:val="32"/>
        </w:rPr>
      </w:pPr>
      <w:r>
        <w:rPr>
          <w:rFonts w:hint="eastAsia" w:ascii="仿宋_GB2312" w:eastAsia="仿宋_GB2312" w:cs="仿宋_GB2312"/>
          <w:sz w:val="32"/>
          <w:szCs w:val="32"/>
        </w:rPr>
        <w:t>从该项目的实施情况来看，整个项目在资金安排、使用的过程中存在不确定性，对于项目支出运行实践经验还欠缺，相关制度建设还有待进一步加强。</w:t>
      </w:r>
    </w:p>
    <w:p w14:paraId="021B5AF7">
      <w:pPr>
        <w:numPr>
          <w:ilvl w:val="0"/>
          <w:numId w:val="4"/>
        </w:numPr>
        <w:rPr>
          <w:rFonts w:ascii="楷体_GB2312" w:hAnsi="楷体_GB2312" w:eastAsia="楷体_GB2312"/>
          <w:sz w:val="32"/>
          <w:szCs w:val="32"/>
        </w:rPr>
      </w:pPr>
      <w:r>
        <w:rPr>
          <w:rFonts w:hint="eastAsia" w:ascii="楷体_GB2312" w:hAnsi="楷体_GB2312" w:eastAsia="楷体_GB2312" w:cs="楷体_GB2312"/>
          <w:sz w:val="32"/>
          <w:szCs w:val="32"/>
        </w:rPr>
        <w:t>针对问题提出具体的改进措施或建议</w:t>
      </w:r>
    </w:p>
    <w:p w14:paraId="73F1350B">
      <w:pPr>
        <w:ind w:firstLine="640" w:firstLineChars="200"/>
        <w:rPr>
          <w:rFonts w:ascii="楷体_GB2312" w:hAnsi="楷体_GB2312" w:eastAsia="楷体_GB2312"/>
          <w:sz w:val="32"/>
          <w:szCs w:val="32"/>
        </w:rPr>
      </w:pPr>
      <w:r>
        <w:rPr>
          <w:rFonts w:hint="eastAsia" w:ascii="仿宋_GB2312" w:eastAsia="仿宋_GB2312" w:cs="仿宋_GB2312"/>
          <w:sz w:val="32"/>
          <w:szCs w:val="32"/>
        </w:rPr>
        <w:t>接下来的有关项目中我镇将尽量做到科学、合理的使用资金，在财政资金按时到位的情况下，有序进行各项工作，以确保各项工作保质完成。</w:t>
      </w:r>
    </w:p>
    <w:p w14:paraId="43ADB9F1">
      <w:pPr>
        <w:adjustRightInd w:val="0"/>
        <w:snapToGrid w:val="0"/>
        <w:spacing w:line="360" w:lineRule="auto"/>
        <w:ind w:firstLine="640" w:firstLineChars="200"/>
        <w:rPr>
          <w:rFonts w:ascii="仿宋_GB2312" w:eastAsia="仿宋_GB2312"/>
          <w:sz w:val="32"/>
          <w:szCs w:val="32"/>
        </w:rPr>
      </w:pPr>
      <w:r>
        <w:rPr>
          <w:rFonts w:hint="eastAsia" w:ascii="黑体" w:eastAsia="黑体" w:cs="黑体"/>
          <w:sz w:val="32"/>
          <w:szCs w:val="32"/>
        </w:rPr>
        <w:t>六、评价工作组人员名单及签字</w:t>
      </w:r>
      <w:r>
        <w:rPr>
          <w:rFonts w:hint="eastAsia" w:ascii="仿宋_GB2312" w:eastAsia="仿宋_GB2312" w:cs="仿宋_GB2312"/>
          <w:sz w:val="32"/>
          <w:szCs w:val="32"/>
        </w:rPr>
        <w:t>（姓名、工作单位、职务、职称）</w:t>
      </w:r>
    </w:p>
    <w:tbl>
      <w:tblPr>
        <w:tblStyle w:val="2"/>
        <w:tblpPr w:leftFromText="180" w:rightFromText="180" w:vertAnchor="text" w:tblpXSpec="center" w:tblpY="195"/>
        <w:tblOverlap w:val="never"/>
        <w:tblW w:w="837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07"/>
        <w:gridCol w:w="1802"/>
        <w:gridCol w:w="2608"/>
        <w:gridCol w:w="1455"/>
        <w:gridCol w:w="1500"/>
      </w:tblGrid>
      <w:tr w14:paraId="417BA2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1" w:hRule="atLeast"/>
          <w:jc w:val="center"/>
        </w:trPr>
        <w:tc>
          <w:tcPr>
            <w:tcW w:w="1007" w:type="dxa"/>
            <w:vAlign w:val="center"/>
          </w:tcPr>
          <w:p w14:paraId="121D7513">
            <w:pPr>
              <w:jc w:val="center"/>
            </w:pPr>
            <w:r>
              <w:rPr>
                <w:rFonts w:hint="eastAsia" w:cs="宋体"/>
              </w:rPr>
              <w:t>序号</w:t>
            </w:r>
          </w:p>
        </w:tc>
        <w:tc>
          <w:tcPr>
            <w:tcW w:w="1802" w:type="dxa"/>
            <w:vAlign w:val="center"/>
          </w:tcPr>
          <w:p w14:paraId="3EF7B40A">
            <w:pPr>
              <w:jc w:val="center"/>
            </w:pPr>
            <w:r>
              <w:rPr>
                <w:rFonts w:hint="eastAsia" w:cs="宋体"/>
              </w:rPr>
              <w:t>姓名</w:t>
            </w:r>
          </w:p>
        </w:tc>
        <w:tc>
          <w:tcPr>
            <w:tcW w:w="2608" w:type="dxa"/>
            <w:vAlign w:val="center"/>
          </w:tcPr>
          <w:p w14:paraId="6D092465">
            <w:pPr>
              <w:jc w:val="center"/>
            </w:pPr>
            <w:r>
              <w:rPr>
                <w:rFonts w:hint="eastAsia" w:cs="宋体"/>
              </w:rPr>
              <w:t>工作单位</w:t>
            </w:r>
          </w:p>
        </w:tc>
        <w:tc>
          <w:tcPr>
            <w:tcW w:w="1455" w:type="dxa"/>
            <w:vAlign w:val="center"/>
          </w:tcPr>
          <w:p w14:paraId="49C8C382">
            <w:pPr>
              <w:jc w:val="center"/>
            </w:pPr>
            <w:r>
              <w:rPr>
                <w:rFonts w:hint="eastAsia" w:cs="宋体"/>
              </w:rPr>
              <w:t>职务</w:t>
            </w:r>
          </w:p>
        </w:tc>
        <w:tc>
          <w:tcPr>
            <w:tcW w:w="1500" w:type="dxa"/>
            <w:vAlign w:val="center"/>
          </w:tcPr>
          <w:p w14:paraId="44791C6C">
            <w:pPr>
              <w:jc w:val="center"/>
            </w:pPr>
            <w:r>
              <w:rPr>
                <w:rFonts w:hint="eastAsia" w:cs="宋体"/>
              </w:rPr>
              <w:t>签字</w:t>
            </w:r>
          </w:p>
        </w:tc>
      </w:tr>
      <w:tr w14:paraId="077ED1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94" w:hRule="atLeast"/>
          <w:jc w:val="center"/>
        </w:trPr>
        <w:tc>
          <w:tcPr>
            <w:tcW w:w="1007" w:type="dxa"/>
            <w:vAlign w:val="center"/>
          </w:tcPr>
          <w:p w14:paraId="54346298">
            <w:pPr>
              <w:jc w:val="center"/>
              <w:rPr>
                <w:rFonts w:ascii="仿宋_GB2312" w:hAnsi="仿宋_GB2312" w:eastAsia="仿宋_GB2312" w:cs="仿宋_GB2312"/>
                <w:sz w:val="32"/>
                <w:szCs w:val="32"/>
              </w:rPr>
            </w:pPr>
            <w:r>
              <w:rPr>
                <w:rFonts w:ascii="仿宋_GB2312" w:hAnsi="仿宋_GB2312" w:eastAsia="仿宋_GB2312" w:cs="仿宋_GB2312"/>
                <w:sz w:val="32"/>
                <w:szCs w:val="32"/>
              </w:rPr>
              <w:t>1</w:t>
            </w:r>
          </w:p>
        </w:tc>
        <w:tc>
          <w:tcPr>
            <w:tcW w:w="1802" w:type="dxa"/>
            <w:vAlign w:val="center"/>
          </w:tcPr>
          <w:p w14:paraId="1674BBE9">
            <w:pPr>
              <w:jc w:val="center"/>
              <w:rPr>
                <w:rFonts w:ascii="仿宋_GB2312" w:hAnsi="仿宋_GB2312" w:eastAsia="仿宋_GB2312"/>
                <w:sz w:val="32"/>
                <w:szCs w:val="32"/>
              </w:rPr>
            </w:pPr>
            <w:r>
              <w:rPr>
                <w:rFonts w:hint="eastAsia" w:ascii="仿宋_GB2312" w:hAnsi="仿宋_GB2312" w:eastAsia="仿宋_GB2312" w:cs="仿宋_GB2312"/>
                <w:sz w:val="32"/>
                <w:szCs w:val="32"/>
              </w:rPr>
              <w:t>吉永亮</w:t>
            </w:r>
          </w:p>
        </w:tc>
        <w:tc>
          <w:tcPr>
            <w:tcW w:w="2608" w:type="dxa"/>
            <w:vAlign w:val="center"/>
          </w:tcPr>
          <w:p w14:paraId="448279F4">
            <w:pPr>
              <w:jc w:val="center"/>
              <w:rPr>
                <w:rFonts w:ascii="仿宋_GB2312" w:hAnsi="仿宋_GB2312" w:eastAsia="仿宋_GB2312"/>
                <w:sz w:val="32"/>
                <w:szCs w:val="32"/>
              </w:rPr>
            </w:pPr>
            <w:r>
              <w:rPr>
                <w:rFonts w:hint="eastAsia" w:ascii="仿宋_GB2312" w:hAnsi="仿宋_GB2312" w:eastAsia="仿宋_GB2312" w:cs="仿宋_GB2312"/>
                <w:sz w:val="32"/>
                <w:szCs w:val="32"/>
              </w:rPr>
              <w:t>廉州镇人民政府</w:t>
            </w:r>
          </w:p>
        </w:tc>
        <w:tc>
          <w:tcPr>
            <w:tcW w:w="1455" w:type="dxa"/>
            <w:vAlign w:val="center"/>
          </w:tcPr>
          <w:p w14:paraId="15A8A0F4">
            <w:pPr>
              <w:jc w:val="center"/>
              <w:rPr>
                <w:rFonts w:ascii="仿宋_GB2312" w:hAnsi="仿宋_GB2312" w:eastAsia="仿宋_GB2312"/>
                <w:sz w:val="32"/>
                <w:szCs w:val="32"/>
              </w:rPr>
            </w:pPr>
            <w:r>
              <w:rPr>
                <w:rFonts w:hint="eastAsia" w:ascii="仿宋_GB2312" w:hAnsi="仿宋_GB2312" w:eastAsia="仿宋_GB2312" w:cs="仿宋_GB2312"/>
                <w:sz w:val="32"/>
                <w:szCs w:val="32"/>
              </w:rPr>
              <w:t>书记</w:t>
            </w:r>
          </w:p>
        </w:tc>
        <w:tc>
          <w:tcPr>
            <w:tcW w:w="1500" w:type="dxa"/>
            <w:vAlign w:val="center"/>
          </w:tcPr>
          <w:p w14:paraId="46E5F69F">
            <w:pPr>
              <w:jc w:val="center"/>
              <w:rPr>
                <w:rFonts w:ascii="仿宋_GB2312" w:hAnsi="仿宋_GB2312" w:eastAsia="仿宋_GB2312"/>
                <w:sz w:val="32"/>
                <w:szCs w:val="32"/>
              </w:rPr>
            </w:pPr>
          </w:p>
        </w:tc>
      </w:tr>
      <w:tr w14:paraId="067114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4" w:hRule="atLeast"/>
          <w:jc w:val="center"/>
        </w:trPr>
        <w:tc>
          <w:tcPr>
            <w:tcW w:w="1007" w:type="dxa"/>
            <w:vAlign w:val="center"/>
          </w:tcPr>
          <w:p w14:paraId="3C58B94C">
            <w:pPr>
              <w:jc w:val="center"/>
              <w:rPr>
                <w:rFonts w:ascii="仿宋_GB2312" w:hAnsi="仿宋_GB2312" w:eastAsia="仿宋_GB2312" w:cs="仿宋_GB2312"/>
                <w:sz w:val="32"/>
                <w:szCs w:val="32"/>
              </w:rPr>
            </w:pPr>
            <w:r>
              <w:rPr>
                <w:rFonts w:ascii="仿宋_GB2312" w:hAnsi="仿宋_GB2312" w:eastAsia="仿宋_GB2312" w:cs="仿宋_GB2312"/>
                <w:sz w:val="32"/>
                <w:szCs w:val="32"/>
              </w:rPr>
              <w:t>2</w:t>
            </w:r>
          </w:p>
        </w:tc>
        <w:tc>
          <w:tcPr>
            <w:tcW w:w="1802" w:type="dxa"/>
            <w:vAlign w:val="center"/>
          </w:tcPr>
          <w:p w14:paraId="604ACFAE">
            <w:pPr>
              <w:jc w:val="center"/>
              <w:rPr>
                <w:rFonts w:ascii="仿宋_GB2312" w:hAnsi="仿宋_GB2312" w:eastAsia="仿宋_GB2312"/>
                <w:sz w:val="32"/>
                <w:szCs w:val="32"/>
              </w:rPr>
            </w:pPr>
            <w:r>
              <w:rPr>
                <w:rFonts w:hint="eastAsia" w:ascii="仿宋_GB2312" w:hAnsi="仿宋_GB2312" w:eastAsia="仿宋_GB2312" w:cs="仿宋_GB2312"/>
                <w:sz w:val="32"/>
                <w:szCs w:val="32"/>
              </w:rPr>
              <w:t>王国刚</w:t>
            </w:r>
          </w:p>
        </w:tc>
        <w:tc>
          <w:tcPr>
            <w:tcW w:w="2608" w:type="dxa"/>
            <w:vAlign w:val="center"/>
          </w:tcPr>
          <w:p w14:paraId="068346D3">
            <w:pPr>
              <w:jc w:val="center"/>
              <w:rPr>
                <w:rFonts w:ascii="仿宋_GB2312" w:hAnsi="仿宋_GB2312" w:eastAsia="仿宋_GB2312"/>
                <w:sz w:val="32"/>
                <w:szCs w:val="32"/>
              </w:rPr>
            </w:pPr>
            <w:r>
              <w:rPr>
                <w:rFonts w:hint="eastAsia" w:ascii="仿宋_GB2312" w:hAnsi="仿宋_GB2312" w:eastAsia="仿宋_GB2312" w:cs="仿宋_GB2312"/>
                <w:sz w:val="32"/>
                <w:szCs w:val="32"/>
              </w:rPr>
              <w:t>廉州镇人民政府</w:t>
            </w:r>
          </w:p>
        </w:tc>
        <w:tc>
          <w:tcPr>
            <w:tcW w:w="1455" w:type="dxa"/>
            <w:vAlign w:val="center"/>
          </w:tcPr>
          <w:p w14:paraId="4DB0E812">
            <w:pPr>
              <w:jc w:val="center"/>
              <w:rPr>
                <w:rFonts w:ascii="仿宋_GB2312" w:hAnsi="仿宋_GB2312" w:eastAsia="仿宋_GB2312"/>
                <w:sz w:val="32"/>
                <w:szCs w:val="32"/>
              </w:rPr>
            </w:pPr>
            <w:r>
              <w:rPr>
                <w:rFonts w:hint="eastAsia" w:ascii="仿宋_GB2312" w:hAnsi="仿宋_GB2312" w:eastAsia="仿宋_GB2312" w:cs="仿宋_GB2312"/>
                <w:sz w:val="32"/>
                <w:szCs w:val="32"/>
              </w:rPr>
              <w:t>镇长</w:t>
            </w:r>
          </w:p>
        </w:tc>
        <w:tc>
          <w:tcPr>
            <w:tcW w:w="1500" w:type="dxa"/>
            <w:vAlign w:val="center"/>
          </w:tcPr>
          <w:p w14:paraId="171772E2">
            <w:pPr>
              <w:jc w:val="center"/>
              <w:rPr>
                <w:rFonts w:ascii="仿宋_GB2312" w:hAnsi="仿宋_GB2312" w:eastAsia="仿宋_GB2312"/>
                <w:sz w:val="32"/>
                <w:szCs w:val="32"/>
              </w:rPr>
            </w:pPr>
          </w:p>
        </w:tc>
      </w:tr>
      <w:tr w14:paraId="6B84F9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9" w:hRule="atLeast"/>
          <w:jc w:val="center"/>
        </w:trPr>
        <w:tc>
          <w:tcPr>
            <w:tcW w:w="1007" w:type="dxa"/>
            <w:vAlign w:val="center"/>
          </w:tcPr>
          <w:p w14:paraId="5F419B0C">
            <w:pPr>
              <w:jc w:val="center"/>
              <w:rPr>
                <w:rFonts w:ascii="仿宋_GB2312" w:hAnsi="仿宋_GB2312" w:eastAsia="仿宋_GB2312" w:cs="仿宋_GB2312"/>
                <w:sz w:val="32"/>
                <w:szCs w:val="32"/>
              </w:rPr>
            </w:pPr>
            <w:r>
              <w:rPr>
                <w:rFonts w:ascii="仿宋_GB2312" w:hAnsi="仿宋_GB2312" w:eastAsia="仿宋_GB2312" w:cs="仿宋_GB2312"/>
                <w:sz w:val="32"/>
                <w:szCs w:val="32"/>
              </w:rPr>
              <w:t>3</w:t>
            </w:r>
          </w:p>
        </w:tc>
        <w:tc>
          <w:tcPr>
            <w:tcW w:w="1802" w:type="dxa"/>
            <w:vAlign w:val="center"/>
          </w:tcPr>
          <w:p w14:paraId="130DD082">
            <w:pPr>
              <w:jc w:val="center"/>
              <w:rPr>
                <w:rFonts w:hint="eastAsia" w:ascii="仿宋_GB2312" w:hAnsi="仿宋_GB2312" w:eastAsia="仿宋_GB2312"/>
                <w:sz w:val="32"/>
                <w:szCs w:val="32"/>
                <w:lang w:val="en-US" w:eastAsia="zh-CN"/>
              </w:rPr>
            </w:pPr>
            <w:r>
              <w:rPr>
                <w:rFonts w:hint="eastAsia" w:ascii="仿宋_GB2312" w:hAnsi="仿宋_GB2312" w:eastAsia="仿宋_GB2312"/>
                <w:sz w:val="32"/>
                <w:szCs w:val="32"/>
                <w:lang w:val="en-US" w:eastAsia="zh-CN"/>
              </w:rPr>
              <w:t>高建军</w:t>
            </w:r>
          </w:p>
        </w:tc>
        <w:tc>
          <w:tcPr>
            <w:tcW w:w="2608" w:type="dxa"/>
            <w:vAlign w:val="center"/>
          </w:tcPr>
          <w:p w14:paraId="164CD615">
            <w:pPr>
              <w:jc w:val="center"/>
              <w:rPr>
                <w:rFonts w:ascii="仿宋_GB2312" w:hAnsi="仿宋_GB2312" w:eastAsia="仿宋_GB2312"/>
                <w:sz w:val="32"/>
                <w:szCs w:val="32"/>
              </w:rPr>
            </w:pPr>
            <w:r>
              <w:rPr>
                <w:rFonts w:hint="eastAsia" w:ascii="仿宋_GB2312" w:hAnsi="仿宋_GB2312" w:eastAsia="仿宋_GB2312" w:cs="仿宋_GB2312"/>
                <w:sz w:val="32"/>
                <w:szCs w:val="32"/>
              </w:rPr>
              <w:t>廉州镇人民政府</w:t>
            </w:r>
          </w:p>
        </w:tc>
        <w:tc>
          <w:tcPr>
            <w:tcW w:w="1455" w:type="dxa"/>
            <w:vAlign w:val="center"/>
          </w:tcPr>
          <w:p w14:paraId="31DE7DAD">
            <w:pPr>
              <w:jc w:val="center"/>
              <w:rPr>
                <w:rFonts w:ascii="仿宋_GB2312" w:hAnsi="仿宋_GB2312" w:eastAsia="仿宋_GB2312"/>
                <w:sz w:val="32"/>
                <w:szCs w:val="32"/>
              </w:rPr>
            </w:pPr>
            <w:r>
              <w:rPr>
                <w:rFonts w:hint="eastAsia" w:ascii="仿宋_GB2312" w:hAnsi="仿宋_GB2312" w:eastAsia="仿宋_GB2312" w:cs="仿宋_GB2312"/>
                <w:sz w:val="32"/>
                <w:szCs w:val="32"/>
              </w:rPr>
              <w:t>人大主席</w:t>
            </w:r>
          </w:p>
        </w:tc>
        <w:tc>
          <w:tcPr>
            <w:tcW w:w="1500" w:type="dxa"/>
            <w:vAlign w:val="center"/>
          </w:tcPr>
          <w:p w14:paraId="125386BD">
            <w:pPr>
              <w:jc w:val="center"/>
              <w:rPr>
                <w:rFonts w:ascii="仿宋_GB2312" w:hAnsi="仿宋_GB2312" w:eastAsia="仿宋_GB2312"/>
                <w:sz w:val="32"/>
                <w:szCs w:val="32"/>
              </w:rPr>
            </w:pPr>
          </w:p>
        </w:tc>
      </w:tr>
    </w:tbl>
    <w:p w14:paraId="247CE6B8">
      <w:r>
        <w:t xml:space="preserve">               </w:t>
      </w:r>
    </w:p>
    <w:p w14:paraId="7D8553C9"/>
    <w:p w14:paraId="5074B073">
      <w:pPr>
        <w:jc w:val="right"/>
        <w:rPr>
          <w:sz w:val="32"/>
          <w:szCs w:val="32"/>
        </w:rPr>
      </w:pPr>
      <w:r>
        <w:rPr>
          <w:rFonts w:hint="eastAsia" w:cs="宋体"/>
          <w:sz w:val="32"/>
          <w:szCs w:val="32"/>
        </w:rPr>
        <w:t>藁城区廉州镇人民政府</w:t>
      </w:r>
    </w:p>
    <w:p w14:paraId="4AB02A58">
      <w:pPr>
        <w:jc w:val="right"/>
        <w:rPr>
          <w:sz w:val="32"/>
          <w:szCs w:val="32"/>
        </w:rPr>
      </w:pPr>
      <w:r>
        <w:rPr>
          <w:sz w:val="32"/>
          <w:szCs w:val="32"/>
        </w:rPr>
        <w:t>2019</w:t>
      </w:r>
      <w:r>
        <w:rPr>
          <w:rFonts w:hint="eastAsia" w:cs="宋体"/>
          <w:sz w:val="32"/>
          <w:szCs w:val="32"/>
        </w:rPr>
        <w:t>年</w:t>
      </w:r>
      <w:r>
        <w:rPr>
          <w:sz w:val="32"/>
          <w:szCs w:val="32"/>
        </w:rPr>
        <w:t>10</w:t>
      </w:r>
      <w:r>
        <w:rPr>
          <w:rFonts w:hint="eastAsia" w:cs="宋体"/>
          <w:sz w:val="32"/>
          <w:szCs w:val="32"/>
        </w:rPr>
        <w:t>月</w:t>
      </w:r>
      <w:r>
        <w:rPr>
          <w:sz w:val="32"/>
          <w:szCs w:val="32"/>
        </w:rPr>
        <w:t>22</w:t>
      </w:r>
      <w:r>
        <w:rPr>
          <w:rFonts w:hint="eastAsia" w:cs="宋体"/>
          <w:sz w:val="32"/>
          <w:szCs w:val="32"/>
        </w:rPr>
        <w:t>日</w:t>
      </w:r>
    </w:p>
    <w:p w14:paraId="0BA7D128">
      <w:pPr>
        <w:jc w:val="right"/>
      </w:pPr>
    </w:p>
    <w:sectPr>
      <w:pgSz w:w="11906" w:h="16838"/>
      <w:pgMar w:top="1440" w:right="1706" w:bottom="1440" w:left="138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0000000000000000000"/>
    <w:charset w:val="86"/>
    <w:family w:val="modern"/>
    <w:pitch w:val="default"/>
    <w:sig w:usb0="00000000" w:usb1="00000000" w:usb2="00000010" w:usb3="00000000" w:csb0="00040000" w:csb1="00000000"/>
  </w:font>
  <w:font w:name="华文楷体">
    <w:panose1 w:val="02010600040101010101"/>
    <w:charset w:val="86"/>
    <w:family w:val="auto"/>
    <w:pitch w:val="default"/>
    <w:sig w:usb0="00000287" w:usb1="080F0000" w:usb2="00000000" w:usb3="00000000" w:csb0="0004009F" w:csb1="DFD70000"/>
  </w:font>
  <w:font w:name="楷体_GB2312">
    <w:altName w:val="楷体"/>
    <w:panose1 w:val="00000000000000000000"/>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F2E6501"/>
    <w:multiLevelType w:val="singleLevel"/>
    <w:tmpl w:val="DF2E6501"/>
    <w:lvl w:ilvl="0" w:tentative="0">
      <w:start w:val="2"/>
      <w:numFmt w:val="chineseCounting"/>
      <w:suff w:val="nothing"/>
      <w:lvlText w:val="（%1）"/>
      <w:lvlJc w:val="left"/>
      <w:rPr>
        <w:rFonts w:hint="eastAsia"/>
      </w:rPr>
    </w:lvl>
  </w:abstractNum>
  <w:abstractNum w:abstractNumId="1">
    <w:nsid w:val="2360666A"/>
    <w:multiLevelType w:val="singleLevel"/>
    <w:tmpl w:val="2360666A"/>
    <w:lvl w:ilvl="0" w:tentative="0">
      <w:start w:val="2"/>
      <w:numFmt w:val="chineseCounting"/>
      <w:suff w:val="nothing"/>
      <w:lvlText w:val="（%1）"/>
      <w:lvlJc w:val="left"/>
      <w:pPr>
        <w:ind w:left="480"/>
      </w:pPr>
      <w:rPr>
        <w:rFonts w:hint="eastAsia"/>
      </w:rPr>
    </w:lvl>
  </w:abstractNum>
  <w:abstractNum w:abstractNumId="2">
    <w:nsid w:val="4692906E"/>
    <w:multiLevelType w:val="singleLevel"/>
    <w:tmpl w:val="4692906E"/>
    <w:lvl w:ilvl="0" w:tentative="0">
      <w:start w:val="2"/>
      <w:numFmt w:val="decimal"/>
      <w:suff w:val="nothing"/>
      <w:lvlText w:val="%1、"/>
      <w:lvlJc w:val="left"/>
    </w:lvl>
  </w:abstractNum>
  <w:abstractNum w:abstractNumId="3">
    <w:nsid w:val="6F84DCB8"/>
    <w:multiLevelType w:val="singleLevel"/>
    <w:tmpl w:val="6F84DCB8"/>
    <w:lvl w:ilvl="0" w:tentative="0">
      <w:start w:val="2"/>
      <w:numFmt w:val="decimal"/>
      <w:lvlText w:val="%1."/>
      <w:lvlJc w:val="left"/>
      <w:pPr>
        <w:tabs>
          <w:tab w:val="left" w:pos="312"/>
        </w:tabs>
        <w:ind w:left="800"/>
      </w:pPr>
    </w:lvl>
  </w:abstractNum>
  <w:num w:numId="1">
    <w:abstractNumId w:val="3"/>
  </w:num>
  <w:num w:numId="2">
    <w:abstractNumId w:val="0"/>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embedSystemFonts/>
  <w:bordersDoNotSurroundHeader w:val="1"/>
  <w:bordersDoNotSurroundFooter w:val="1"/>
  <w:documentProtection w:enforcement="0"/>
  <w:defaultTabStop w:val="420"/>
  <w:doNotHyphenateCaps/>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ZTMzZmIyODEyYmQwZGE2MGU2MDg2NjQ2ZDRlZTY2ODcifQ=="/>
  </w:docVars>
  <w:rsids>
    <w:rsidRoot w:val="00DF23ED"/>
    <w:rsid w:val="00360B03"/>
    <w:rsid w:val="003923B1"/>
    <w:rsid w:val="003C6876"/>
    <w:rsid w:val="00435163"/>
    <w:rsid w:val="00437188"/>
    <w:rsid w:val="006F51BB"/>
    <w:rsid w:val="009E23A7"/>
    <w:rsid w:val="00DF23ED"/>
    <w:rsid w:val="0BD7032F"/>
    <w:rsid w:val="113208AC"/>
    <w:rsid w:val="1B6875FE"/>
    <w:rsid w:val="392370F5"/>
    <w:rsid w:val="4791653D"/>
    <w:rsid w:val="494140FB"/>
    <w:rsid w:val="4C2F0F7C"/>
    <w:rsid w:val="57F61F1D"/>
    <w:rsid w:val="5DAE5A2D"/>
    <w:rsid w:val="5E4A20C9"/>
    <w:rsid w:val="6289332F"/>
    <w:rsid w:val="66057334"/>
    <w:rsid w:val="78107DE5"/>
    <w:rsid w:val="7A5C7D0E"/>
    <w:rsid w:val="7A6E594A"/>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1"/>
      <w:lang w:val="en-US" w:eastAsia="zh-CN" w:bidi="ar-SA"/>
    </w:rPr>
  </w:style>
  <w:style w:type="character" w:default="1" w:styleId="3">
    <w:name w:val="Default Paragraph Font"/>
    <w:semiHidden/>
    <w:uiPriority w:val="99"/>
  </w:style>
  <w:style w:type="table" w:default="1" w:styleId="2">
    <w:name w:val="Normal Table"/>
    <w:semiHidden/>
    <w:unhideWhenUsed/>
    <w:qFormat/>
    <w:uiPriority w:val="99"/>
    <w:tblPr>
      <w:tblCellMar>
        <w:top w:w="0" w:type="dxa"/>
        <w:left w:w="108" w:type="dxa"/>
        <w:bottom w:w="0" w:type="dxa"/>
        <w:right w:w="108" w:type="dxa"/>
      </w:tblCellMar>
    </w:tblPr>
  </w:style>
  <w:style w:type="paragraph" w:customStyle="1" w:styleId="4">
    <w:name w:val="默认段落字体 Para Char Char Char Char Char Char Char"/>
    <w:basedOn w:val="1"/>
    <w:uiPriority w:val="99"/>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Template>
  <Company>微软中国</Company>
  <Pages>4</Pages>
  <Words>1276</Words>
  <Characters>1307</Characters>
  <Lines>0</Lines>
  <Paragraphs>0</Paragraphs>
  <TotalTime>28</TotalTime>
  <ScaleCrop>false</ScaleCrop>
  <LinksUpToDate>false</LinksUpToDate>
  <CharactersWithSpaces>1344</CharactersWithSpaces>
  <Application>WPS Office_12.1.0.17857_F1E327BC-269C-435d-A152-05C5408002CA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2019-09-16T09:17:00Z</dcterms:created>
  <dc:creator>办公室</dc:creator>
  <cp:lastModifiedBy> </cp:lastModifiedBy>
  <dcterms:modified xsi:type="dcterms:W3CDTF">2024-09-11T08:11:07Z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2052-12.1.0.17857</vt:lpwstr>
  </property>
  <property fmtid="{D5CDD505-2E9C-101B-9397-08002B2CF9AE}" pid="3" name="ICV">
    <vt:lpwstr>92C5E0124FC5440E8A2941806DD623DA_12</vt:lpwstr>
  </property>
</Properties>
</file>