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jc w:val="center"/>
        <w:textAlignment w:val="auto"/>
        <w:rPr>
          <w:rFonts w:hint="eastAsia" w:ascii="宋体" w:hAnsi="宋体"/>
          <w:b/>
          <w:bCs/>
          <w:sz w:val="44"/>
          <w:szCs w:val="44"/>
          <w:lang w:eastAsia="zh-CN"/>
        </w:rPr>
      </w:pPr>
      <w:r>
        <w:rPr>
          <w:rFonts w:hint="eastAsia" w:ascii="宋体" w:hAnsi="宋体"/>
          <w:b/>
          <w:bCs/>
          <w:sz w:val="44"/>
          <w:szCs w:val="44"/>
          <w:lang w:eastAsia="zh-CN"/>
        </w:rPr>
        <w:t>南</w:t>
      </w:r>
      <w:r>
        <w:rPr>
          <w:rFonts w:hint="eastAsia" w:ascii="宋体" w:hAnsi="宋体"/>
          <w:b/>
          <w:bCs/>
          <w:sz w:val="44"/>
          <w:szCs w:val="44"/>
          <w:lang w:val="en-US" w:eastAsia="zh-CN"/>
        </w:rPr>
        <w:t xml:space="preserve"> </w:t>
      </w:r>
      <w:r>
        <w:rPr>
          <w:rFonts w:hint="eastAsia" w:ascii="宋体" w:hAnsi="宋体"/>
          <w:b/>
          <w:bCs/>
          <w:sz w:val="44"/>
          <w:szCs w:val="44"/>
          <w:lang w:eastAsia="zh-CN"/>
        </w:rPr>
        <w:t>营</w:t>
      </w:r>
      <w:r>
        <w:rPr>
          <w:rFonts w:hint="eastAsia" w:ascii="宋体" w:hAnsi="宋体"/>
          <w:b/>
          <w:bCs/>
          <w:sz w:val="44"/>
          <w:szCs w:val="44"/>
          <w:lang w:val="en-US" w:eastAsia="zh-CN"/>
        </w:rPr>
        <w:t xml:space="preserve"> </w:t>
      </w:r>
      <w:r>
        <w:rPr>
          <w:rFonts w:hint="eastAsia" w:ascii="宋体" w:hAnsi="宋体"/>
          <w:b/>
          <w:bCs/>
          <w:sz w:val="44"/>
          <w:szCs w:val="44"/>
          <w:lang w:eastAsia="zh-CN"/>
        </w:rPr>
        <w:t>镇</w:t>
      </w:r>
      <w:r>
        <w:rPr>
          <w:rFonts w:hint="eastAsia" w:ascii="宋体" w:hAnsi="宋体"/>
          <w:b/>
          <w:bCs/>
          <w:sz w:val="44"/>
          <w:szCs w:val="44"/>
          <w:lang w:val="en-US" w:eastAsia="zh-CN"/>
        </w:rPr>
        <w:t xml:space="preserve"> 人 民 </w:t>
      </w:r>
      <w:r>
        <w:rPr>
          <w:rFonts w:hint="eastAsia" w:ascii="宋体" w:hAnsi="宋体"/>
          <w:b/>
          <w:bCs/>
          <w:sz w:val="44"/>
          <w:szCs w:val="44"/>
          <w:lang w:eastAsia="zh-CN"/>
        </w:rPr>
        <w:t>政</w:t>
      </w:r>
      <w:r>
        <w:rPr>
          <w:rFonts w:hint="eastAsia" w:ascii="宋体" w:hAnsi="宋体"/>
          <w:b/>
          <w:bCs/>
          <w:sz w:val="44"/>
          <w:szCs w:val="44"/>
          <w:lang w:val="en-US" w:eastAsia="zh-CN"/>
        </w:rPr>
        <w:t xml:space="preserve"> </w:t>
      </w:r>
      <w:r>
        <w:rPr>
          <w:rFonts w:hint="eastAsia" w:ascii="宋体" w:hAnsi="宋体"/>
          <w:b/>
          <w:bCs/>
          <w:sz w:val="44"/>
          <w:szCs w:val="44"/>
          <w:lang w:eastAsia="zh-CN"/>
        </w:rPr>
        <w:t>府</w:t>
      </w:r>
    </w:p>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jc w:val="center"/>
        <w:textAlignment w:val="auto"/>
        <w:rPr>
          <w:rFonts w:hint="eastAsia" w:ascii="华文楷体" w:eastAsia="华文楷体"/>
          <w:b/>
          <w:bCs/>
          <w:sz w:val="32"/>
          <w:szCs w:val="32"/>
        </w:rPr>
      </w:pPr>
      <w:r>
        <w:rPr>
          <w:rFonts w:hint="eastAsia" w:ascii="宋体" w:hAnsi="宋体"/>
          <w:b/>
          <w:bCs/>
          <w:sz w:val="44"/>
          <w:szCs w:val="44"/>
          <w:lang w:val="en-US" w:eastAsia="zh-CN"/>
        </w:rPr>
        <w:t>2018</w:t>
      </w:r>
      <w:r>
        <w:rPr>
          <w:rFonts w:hint="eastAsia" w:ascii="宋体" w:hAnsi="宋体"/>
          <w:b/>
          <w:bCs/>
          <w:sz w:val="44"/>
          <w:szCs w:val="44"/>
        </w:rPr>
        <w:t>年度粉煤灰清运项目绩效自评报告</w:t>
      </w:r>
    </w:p>
    <w:p>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640" w:firstLineChars="200"/>
        <w:textAlignment w:val="auto"/>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 号），遵循“科学性、规范性、客观性和公正性”的原则，对粉煤灰清运项目实施了绩效评价，形成本评价报告。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1.项目实施单位及项目立项等基本情况；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2018年南营镇因粉煤灰扬尘污染问题被，多次被省市环保部门督办。为彻底清运粉煤灰，消除粉煤灰扬尘污染问题。由南营镇政府组织实施粉煤灰清运项目。</w:t>
      </w:r>
    </w:p>
    <w:p>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项目主要实施内容和范围；</w:t>
      </w:r>
    </w:p>
    <w:p>
      <w:pPr>
        <w:numPr>
          <w:ilvl w:val="0"/>
          <w:numId w:val="0"/>
        </w:num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对马房村东现存粉煤灰进行清运，对粉煤灰存放点地表用新土进行覆盖，以解决由于粉煤灰扬尘造成的大气污染问题。</w:t>
      </w:r>
    </w:p>
    <w:p>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项目资金投入情况</w:t>
      </w:r>
    </w:p>
    <w:p>
      <w:pPr>
        <w:numPr>
          <w:ilvl w:val="0"/>
          <w:numId w:val="0"/>
        </w:numPr>
        <w:adjustRightInd w:val="0"/>
        <w:snapToGrid w:val="0"/>
        <w:spacing w:line="360" w:lineRule="auto"/>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藁城区财政投入资金100万元用于粉煤灰清运项目，资金来源为一般公共预算。</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4.项目实施过程</w:t>
      </w:r>
    </w:p>
    <w:p>
      <w:pPr>
        <w:ind w:firstLine="643" w:firstLineChars="200"/>
        <w:rPr>
          <w:rFonts w:hint="eastAsia" w:ascii="仿宋_GB2312" w:eastAsia="仿宋_GB2312"/>
          <w:b/>
          <w:bCs/>
          <w:sz w:val="32"/>
          <w:szCs w:val="32"/>
        </w:rPr>
      </w:pPr>
      <w:r>
        <w:rPr>
          <w:rFonts w:hint="eastAsia" w:ascii="仿宋_GB2312" w:eastAsia="仿宋_GB2312"/>
          <w:b/>
          <w:bCs/>
          <w:sz w:val="32"/>
          <w:szCs w:val="32"/>
        </w:rPr>
        <w:t>（1）业务管理情况分析。</w:t>
      </w:r>
    </w:p>
    <w:p>
      <w:pPr>
        <w:ind w:firstLine="640" w:firstLineChars="200"/>
        <w:rPr>
          <w:rFonts w:hint="eastAsia" w:ascii="仿宋_GB2312" w:eastAsia="仿宋_GB2312" w:cs="Times New Roman"/>
          <w:b w:val="0"/>
          <w:bCs w:val="0"/>
          <w:color w:val="auto"/>
          <w:kern w:val="2"/>
          <w:sz w:val="32"/>
          <w:szCs w:val="32"/>
          <w:lang w:val="en-US" w:eastAsia="zh-CN" w:bidi="ar-SA"/>
        </w:rPr>
      </w:pPr>
      <w:r>
        <w:rPr>
          <w:rFonts w:hint="eastAsia" w:ascii="仿宋_GB2312" w:eastAsia="仿宋_GB2312"/>
          <w:sz w:val="32"/>
          <w:szCs w:val="32"/>
          <w:lang w:eastAsia="zh-CN"/>
        </w:rPr>
        <w:t>南营镇政府作为项目实施主体全程参与粉煤灰清运工作。首先，委托河北青风招标代理有限</w:t>
      </w:r>
      <w:r>
        <w:rPr>
          <w:rFonts w:hint="eastAsia" w:ascii="仿宋_GB2312" w:eastAsia="仿宋_GB2312"/>
          <w:sz w:val="32"/>
          <w:szCs w:val="32"/>
          <w:lang w:val="en-US" w:eastAsia="zh-CN"/>
        </w:rPr>
        <w:t>公司组织实施项目招投标工作，并最终确定河北森旺土石方工程有限公司为项目实施单位。其次，在</w:t>
      </w:r>
      <w:r>
        <w:rPr>
          <w:rFonts w:hint="eastAsia" w:ascii="仿宋_GB2312" w:hAnsi="Times New Roman" w:eastAsia="仿宋_GB2312" w:cs="Times New Roman"/>
          <w:b w:val="0"/>
          <w:bCs w:val="0"/>
          <w:color w:val="auto"/>
          <w:kern w:val="2"/>
          <w:sz w:val="32"/>
          <w:szCs w:val="32"/>
          <w:lang w:val="en-US" w:eastAsia="zh-CN" w:bidi="ar-SA"/>
        </w:rPr>
        <w:t>粉煤灰清运</w:t>
      </w:r>
      <w:r>
        <w:rPr>
          <w:rFonts w:hint="eastAsia" w:ascii="仿宋_GB2312" w:eastAsia="仿宋_GB2312" w:cs="Times New Roman"/>
          <w:b w:val="0"/>
          <w:bCs w:val="0"/>
          <w:color w:val="auto"/>
          <w:kern w:val="2"/>
          <w:sz w:val="32"/>
          <w:szCs w:val="32"/>
          <w:lang w:val="en-US" w:eastAsia="zh-CN" w:bidi="ar-SA"/>
        </w:rPr>
        <w:t>过程中</w:t>
      </w:r>
      <w:r>
        <w:rPr>
          <w:rFonts w:hint="eastAsia" w:ascii="仿宋_GB2312" w:hAnsi="Times New Roman" w:eastAsia="仿宋_GB2312" w:cs="Times New Roman"/>
          <w:b w:val="0"/>
          <w:bCs w:val="0"/>
          <w:color w:val="auto"/>
          <w:kern w:val="2"/>
          <w:sz w:val="32"/>
          <w:szCs w:val="32"/>
          <w:lang w:val="en-US" w:eastAsia="zh-CN" w:bidi="ar-SA"/>
        </w:rPr>
        <w:t>安排专人负责核对</w:t>
      </w:r>
      <w:r>
        <w:rPr>
          <w:rFonts w:hint="eastAsia" w:ascii="仿宋_GB2312" w:eastAsia="仿宋_GB2312" w:cs="Times New Roman"/>
          <w:b w:val="0"/>
          <w:bCs w:val="0"/>
          <w:color w:val="auto"/>
          <w:kern w:val="2"/>
          <w:sz w:val="32"/>
          <w:szCs w:val="32"/>
          <w:lang w:val="en-US" w:eastAsia="zh-CN" w:bidi="ar-SA"/>
        </w:rPr>
        <w:t>车辆吨位、车次；核算运输里程，确保数据真实准确。项目结束后，南营镇政府、藁城区环保局共同到现场实地验收。</w:t>
      </w:r>
    </w:p>
    <w:p>
      <w:pPr>
        <w:ind w:firstLine="640" w:firstLineChars="200"/>
        <w:rPr>
          <w:rFonts w:hint="eastAsia" w:ascii="仿宋_GB2312" w:hAnsi="Times New Roman" w:eastAsia="仿宋_GB2312" w:cs="Times New Roman"/>
          <w:b w:val="0"/>
          <w:bCs w:val="0"/>
          <w:color w:val="auto"/>
          <w:kern w:val="2"/>
          <w:sz w:val="32"/>
          <w:szCs w:val="32"/>
          <w:lang w:val="en-US" w:eastAsia="zh-CN" w:bidi="ar-SA"/>
        </w:rPr>
      </w:pPr>
      <w:r>
        <w:rPr>
          <w:rFonts w:hint="eastAsia" w:ascii="仿宋_GB2312" w:eastAsia="仿宋_GB2312" w:cs="Times New Roman"/>
          <w:b w:val="0"/>
          <w:bCs w:val="0"/>
          <w:color w:val="auto"/>
          <w:kern w:val="2"/>
          <w:sz w:val="32"/>
          <w:szCs w:val="32"/>
          <w:lang w:val="en-US" w:eastAsia="zh-CN" w:bidi="ar-SA"/>
        </w:rPr>
        <w:t>项目实施过程中，各项工作进展顺利，相关预案齐全，未发生一起安全生产事故及交通运输事故。</w:t>
      </w:r>
      <w:r>
        <w:rPr>
          <w:rFonts w:hint="eastAsia" w:ascii="仿宋_GB2312" w:hAnsi="Times New Roman" w:eastAsia="仿宋_GB2312" w:cs="Times New Roman"/>
          <w:b w:val="0"/>
          <w:bCs w:val="0"/>
          <w:color w:val="auto"/>
          <w:kern w:val="2"/>
          <w:sz w:val="32"/>
          <w:szCs w:val="32"/>
          <w:lang w:val="en-US" w:eastAsia="zh-CN" w:bidi="ar-SA"/>
        </w:rPr>
        <w:t xml:space="preserve">  </w:t>
      </w:r>
    </w:p>
    <w:p>
      <w:pPr>
        <w:numPr>
          <w:ilvl w:val="0"/>
          <w:numId w:val="2"/>
        </w:numPr>
        <w:ind w:firstLine="643" w:firstLineChars="200"/>
        <w:rPr>
          <w:rFonts w:hint="eastAsia" w:ascii="仿宋_GB2312" w:eastAsia="仿宋_GB2312"/>
          <w:b/>
          <w:bCs/>
          <w:sz w:val="32"/>
          <w:szCs w:val="32"/>
        </w:rPr>
      </w:pPr>
      <w:r>
        <w:rPr>
          <w:rFonts w:hint="eastAsia" w:ascii="仿宋_GB2312" w:eastAsia="仿宋_GB2312"/>
          <w:b/>
          <w:bCs/>
          <w:sz w:val="32"/>
          <w:szCs w:val="32"/>
        </w:rPr>
        <w:t>财务管理。</w:t>
      </w:r>
    </w:p>
    <w:p>
      <w:pPr>
        <w:numPr>
          <w:ilvl w:val="0"/>
          <w:numId w:val="0"/>
        </w:numPr>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南营镇政府在粉煤灰项目实施过程中，严格遵守财务制度及财务规范。相关资金使用账目清晰、资金票据及相关附件齐全，资金使用合规、可控。</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粉煤灰清运项目绩效总目标为：粉煤灰清运完成，不再发生扬尘污染。</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具体指标如下：</w:t>
      </w:r>
    </w:p>
    <w:tbl>
      <w:tblPr>
        <w:tblStyle w:val="2"/>
        <w:tblW w:w="10220" w:type="dxa"/>
        <w:tblInd w:w="-625" w:type="dxa"/>
        <w:shd w:val="clear" w:color="auto" w:fill="auto"/>
        <w:tblLayout w:type="fixed"/>
        <w:tblCellMar>
          <w:top w:w="0" w:type="dxa"/>
          <w:left w:w="0" w:type="dxa"/>
          <w:bottom w:w="0" w:type="dxa"/>
          <w:right w:w="0" w:type="dxa"/>
        </w:tblCellMar>
      </w:tblPr>
      <w:tblGrid>
        <w:gridCol w:w="1211"/>
        <w:gridCol w:w="1857"/>
        <w:gridCol w:w="1888"/>
        <w:gridCol w:w="964"/>
        <w:gridCol w:w="965"/>
        <w:gridCol w:w="964"/>
        <w:gridCol w:w="965"/>
        <w:gridCol w:w="1406"/>
      </w:tblGrid>
      <w:tr>
        <w:tblPrEx>
          <w:shd w:val="clear" w:color="auto" w:fill="auto"/>
          <w:tblLayout w:type="fixed"/>
          <w:tblCellMar>
            <w:top w:w="0" w:type="dxa"/>
            <w:left w:w="0" w:type="dxa"/>
            <w:bottom w:w="0" w:type="dxa"/>
            <w:right w:w="0" w:type="dxa"/>
          </w:tblCellMar>
        </w:tblPrEx>
        <w:trPr>
          <w:trHeight w:val="373" w:hRule="atLeast"/>
        </w:trPr>
        <w:tc>
          <w:tcPr>
            <w:tcW w:w="121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w:t>
            </w:r>
            <w:r>
              <w:rPr>
                <w:rFonts w:hint="eastAsia" w:ascii="宋体" w:hAnsi="宋体" w:eastAsia="宋体" w:cs="宋体"/>
                <w:b/>
                <w:i w:val="0"/>
                <w:color w:val="000000"/>
                <w:kern w:val="0"/>
                <w:sz w:val="18"/>
                <w:szCs w:val="18"/>
                <w:u w:val="none"/>
                <w:lang w:val="en-US" w:eastAsia="zh-CN" w:bidi="ar"/>
              </w:rPr>
              <w:br w:type="textWrapping"/>
            </w:r>
            <w:r>
              <w:rPr>
                <w:rFonts w:hint="eastAsia" w:ascii="宋体" w:hAnsi="宋体" w:eastAsia="宋体" w:cs="宋体"/>
                <w:b/>
                <w:i w:val="0"/>
                <w:color w:val="000000"/>
                <w:kern w:val="0"/>
                <w:sz w:val="18"/>
                <w:szCs w:val="18"/>
                <w:u w:val="none"/>
                <w:lang w:val="en-US" w:eastAsia="zh-CN" w:bidi="ar"/>
              </w:rPr>
              <w:t>分类</w:t>
            </w:r>
          </w:p>
        </w:tc>
        <w:tc>
          <w:tcPr>
            <w:tcW w:w="185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w:t>
            </w:r>
          </w:p>
        </w:tc>
        <w:tc>
          <w:tcPr>
            <w:tcW w:w="18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385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绩效指标评价标准</w:t>
            </w:r>
          </w:p>
        </w:tc>
        <w:tc>
          <w:tcPr>
            <w:tcW w:w="140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评价标准确定依据</w:t>
            </w:r>
          </w:p>
        </w:tc>
      </w:tr>
      <w:tr>
        <w:tblPrEx>
          <w:tblLayout w:type="fixed"/>
          <w:tblCellMar>
            <w:top w:w="0" w:type="dxa"/>
            <w:left w:w="0" w:type="dxa"/>
            <w:bottom w:w="0" w:type="dxa"/>
            <w:right w:w="0" w:type="dxa"/>
          </w:tblCellMar>
        </w:tblPrEx>
        <w:trPr>
          <w:trHeight w:val="373" w:hRule="atLeast"/>
        </w:trPr>
        <w:tc>
          <w:tcPr>
            <w:tcW w:w="121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8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8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优</w:t>
            </w: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良</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中</w:t>
            </w: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差</w:t>
            </w:r>
          </w:p>
        </w:tc>
        <w:tc>
          <w:tcPr>
            <w:tcW w:w="14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r>
      <w:tr>
        <w:tblPrEx>
          <w:tblLayout w:type="fixed"/>
          <w:tblCellMar>
            <w:top w:w="0" w:type="dxa"/>
            <w:left w:w="0" w:type="dxa"/>
            <w:bottom w:w="0" w:type="dxa"/>
            <w:right w:w="0" w:type="dxa"/>
          </w:tblCellMar>
        </w:tblPrEx>
        <w:trPr>
          <w:trHeight w:val="1065" w:hRule="atLeast"/>
        </w:trPr>
        <w:tc>
          <w:tcPr>
            <w:tcW w:w="121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粉煤灰清运</w:t>
            </w:r>
            <w:r>
              <w:rPr>
                <w:rFonts w:hint="eastAsia" w:ascii="宋体" w:hAnsi="宋体" w:cs="宋体"/>
                <w:i w:val="0"/>
                <w:color w:val="000000"/>
                <w:kern w:val="0"/>
                <w:sz w:val="18"/>
                <w:szCs w:val="18"/>
                <w:u w:val="none"/>
                <w:lang w:val="en-US" w:eastAsia="zh-CN" w:bidi="ar"/>
              </w:rPr>
              <w:t>完成数量</w:t>
            </w:r>
          </w:p>
        </w:tc>
        <w:tc>
          <w:tcPr>
            <w:tcW w:w="1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粉煤灰清运</w:t>
            </w:r>
            <w:r>
              <w:rPr>
                <w:rFonts w:hint="eastAsia" w:ascii="宋体" w:hAnsi="宋体" w:cs="宋体"/>
                <w:i w:val="0"/>
                <w:color w:val="000000"/>
                <w:kern w:val="0"/>
                <w:sz w:val="18"/>
                <w:szCs w:val="18"/>
                <w:u w:val="none"/>
                <w:lang w:val="en-US" w:eastAsia="zh-CN" w:bidi="ar"/>
              </w:rPr>
              <w:t>数量</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清运工作全部完成</w:t>
            </w:r>
            <w:r>
              <w:rPr>
                <w:rFonts w:hint="eastAsia" w:ascii="宋体" w:hAnsi="宋体" w:cs="宋体"/>
                <w:i w:val="0"/>
                <w:color w:val="000000"/>
                <w:kern w:val="0"/>
                <w:sz w:val="18"/>
                <w:szCs w:val="18"/>
                <w:u w:val="none"/>
                <w:lang w:val="en-US" w:eastAsia="zh-CN" w:bidi="ar"/>
              </w:rPr>
              <w:t>。</w:t>
            </w: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18"/>
                <w:szCs w:val="18"/>
                <w:u w:val="none"/>
                <w:lang w:val="en-US"/>
              </w:rPr>
            </w:pPr>
            <w:r>
              <w:rPr>
                <w:rFonts w:hint="eastAsia" w:ascii="宋体" w:hAnsi="宋体" w:eastAsia="宋体" w:cs="宋体"/>
                <w:i w:val="0"/>
                <w:color w:val="000000"/>
                <w:kern w:val="0"/>
                <w:sz w:val="18"/>
                <w:szCs w:val="18"/>
                <w:u w:val="none"/>
                <w:lang w:val="en-US" w:eastAsia="zh-CN" w:bidi="ar"/>
              </w:rPr>
              <w:t>清运</w:t>
            </w:r>
            <w:r>
              <w:rPr>
                <w:rFonts w:hint="eastAsia" w:ascii="宋体" w:hAnsi="宋体" w:cs="宋体"/>
                <w:i w:val="0"/>
                <w:color w:val="000000"/>
                <w:kern w:val="0"/>
                <w:sz w:val="18"/>
                <w:szCs w:val="18"/>
                <w:u w:val="none"/>
                <w:lang w:val="en-US" w:eastAsia="zh-CN" w:bidi="ar"/>
              </w:rPr>
              <w:t>粉煤灰数量超过总数量的95%</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清运</w:t>
            </w:r>
            <w:r>
              <w:rPr>
                <w:rFonts w:hint="eastAsia" w:ascii="宋体" w:hAnsi="宋体" w:cs="宋体"/>
                <w:i w:val="0"/>
                <w:color w:val="000000"/>
                <w:kern w:val="0"/>
                <w:sz w:val="18"/>
                <w:szCs w:val="18"/>
                <w:u w:val="none"/>
                <w:lang w:val="en-US" w:eastAsia="zh-CN" w:bidi="ar"/>
              </w:rPr>
              <w:t>粉煤灰数量超过总数量的</w:t>
            </w:r>
            <w:r>
              <w:rPr>
                <w:rFonts w:hint="eastAsia" w:ascii="宋体" w:hAnsi="宋体" w:eastAsia="宋体" w:cs="宋体"/>
                <w:i w:val="0"/>
                <w:color w:val="000000"/>
                <w:kern w:val="0"/>
                <w:sz w:val="18"/>
                <w:szCs w:val="18"/>
                <w:u w:val="none"/>
                <w:lang w:val="en-US" w:eastAsia="zh-CN" w:bidi="ar"/>
              </w:rPr>
              <w:t>90%</w:t>
            </w: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清运</w:t>
            </w:r>
            <w:r>
              <w:rPr>
                <w:rFonts w:hint="eastAsia" w:ascii="宋体" w:hAnsi="宋体" w:cs="宋体"/>
                <w:i w:val="0"/>
                <w:color w:val="000000"/>
                <w:kern w:val="0"/>
                <w:sz w:val="18"/>
                <w:szCs w:val="18"/>
                <w:u w:val="none"/>
                <w:lang w:val="en-US" w:eastAsia="zh-CN" w:bidi="ar"/>
              </w:rPr>
              <w:t>粉煤灰数量不足总数量的</w:t>
            </w:r>
            <w:r>
              <w:rPr>
                <w:rFonts w:hint="eastAsia" w:ascii="宋体" w:hAnsi="宋体" w:eastAsia="宋体" w:cs="宋体"/>
                <w:i w:val="0"/>
                <w:color w:val="000000"/>
                <w:kern w:val="0"/>
                <w:sz w:val="18"/>
                <w:szCs w:val="18"/>
                <w:u w:val="none"/>
                <w:lang w:val="en-US" w:eastAsia="zh-CN" w:bidi="ar"/>
              </w:rPr>
              <w:t>90%</w:t>
            </w:r>
          </w:p>
        </w:tc>
        <w:tc>
          <w:tcPr>
            <w:tcW w:w="14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现场查看粉煤灰清运情况查看是否达到相应清运标准。</w:t>
            </w:r>
          </w:p>
        </w:tc>
      </w:tr>
      <w:tr>
        <w:tblPrEx>
          <w:tblLayout w:type="fixed"/>
          <w:tblCellMar>
            <w:top w:w="0" w:type="dxa"/>
            <w:left w:w="0" w:type="dxa"/>
            <w:bottom w:w="0" w:type="dxa"/>
            <w:right w:w="0" w:type="dxa"/>
          </w:tblCellMar>
        </w:tblPrEx>
        <w:trPr>
          <w:trHeight w:val="2103" w:hRule="atLeast"/>
        </w:trPr>
        <w:tc>
          <w:tcPr>
            <w:tcW w:w="121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粉煤灰扬尘问题有效解决</w:t>
            </w:r>
          </w:p>
        </w:tc>
        <w:tc>
          <w:tcPr>
            <w:tcW w:w="1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清运完毕后不再出现粉煤灰造成的扬尘问题</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粉煤灰扬尘问题得到控制，本年度粉煤灰扬尘发生率降低95%。</w:t>
            </w: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粉煤灰扬尘问题得到控制，本年度粉煤灰扬尘发生率降低90%。</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粉煤灰扬尘问题得到控制，本年度粉煤灰扬尘发生率降低85%。</w:t>
            </w: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粉煤灰扬尘问题得到控制，本年度粉煤灰扬尘发生率降低小于70%。</w:t>
            </w:r>
          </w:p>
        </w:tc>
        <w:tc>
          <w:tcPr>
            <w:tcW w:w="14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现场查看粉煤灰扬尘问题是否存在</w:t>
            </w:r>
          </w:p>
        </w:tc>
      </w:tr>
      <w:tr>
        <w:tblPrEx>
          <w:tblLayout w:type="fixed"/>
          <w:tblCellMar>
            <w:top w:w="0" w:type="dxa"/>
            <w:left w:w="0" w:type="dxa"/>
            <w:bottom w:w="0" w:type="dxa"/>
            <w:right w:w="0" w:type="dxa"/>
          </w:tblCellMar>
        </w:tblPrEx>
        <w:trPr>
          <w:trHeight w:val="1065" w:hRule="atLeast"/>
        </w:trPr>
        <w:tc>
          <w:tcPr>
            <w:tcW w:w="121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粉煤灰清运及时率</w:t>
            </w:r>
          </w:p>
        </w:tc>
        <w:tc>
          <w:tcPr>
            <w:tcW w:w="1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粉煤灰清运是否及时完成</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规定时间内按时完成</w:t>
            </w: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规定时间内完成95%以上</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规定时间内完成90%以上</w:t>
            </w: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规定时间内完成90%以下</w:t>
            </w:r>
          </w:p>
        </w:tc>
        <w:tc>
          <w:tcPr>
            <w:tcW w:w="14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现场查看粉煤灰清运情况查看是否达到相应清运标准。</w:t>
            </w:r>
          </w:p>
        </w:tc>
      </w:tr>
      <w:tr>
        <w:tblPrEx>
          <w:tblLayout w:type="fixed"/>
          <w:tblCellMar>
            <w:top w:w="0" w:type="dxa"/>
            <w:left w:w="0" w:type="dxa"/>
            <w:bottom w:w="0" w:type="dxa"/>
            <w:right w:w="0" w:type="dxa"/>
          </w:tblCellMar>
        </w:tblPrEx>
        <w:trPr>
          <w:trHeight w:val="1422" w:hRule="atLeast"/>
        </w:trPr>
        <w:tc>
          <w:tcPr>
            <w:tcW w:w="121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粉煤灰清运完成率</w:t>
            </w:r>
          </w:p>
        </w:tc>
        <w:tc>
          <w:tcPr>
            <w:tcW w:w="1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是否在规定时间内完成粉煤灰清运</w:t>
            </w:r>
            <w:r>
              <w:rPr>
                <w:rFonts w:hint="eastAsia" w:ascii="宋体" w:hAnsi="宋体" w:cs="宋体"/>
                <w:i w:val="0"/>
                <w:color w:val="000000"/>
                <w:kern w:val="0"/>
                <w:sz w:val="18"/>
                <w:szCs w:val="18"/>
                <w:u w:val="none"/>
                <w:lang w:val="en-US" w:eastAsia="zh-CN" w:bidi="ar"/>
              </w:rPr>
              <w:t>，清运数量占总数量的比例</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清运工作全部在规定时间内完成</w:t>
            </w: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清运工作95%以上在规定时间内完成</w:t>
            </w:r>
          </w:p>
        </w:tc>
        <w:tc>
          <w:tcPr>
            <w:tcW w:w="96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清运工作90%以上在规定时间内完成</w:t>
            </w: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清运工作在规定时间内完成率低于90%</w:t>
            </w:r>
          </w:p>
        </w:tc>
        <w:tc>
          <w:tcPr>
            <w:tcW w:w="14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现场查看粉煤灰清运情况</w:t>
            </w:r>
          </w:p>
        </w:tc>
      </w:tr>
    </w:tbl>
    <w:p>
      <w:pPr>
        <w:adjustRightInd w:val="0"/>
        <w:snapToGrid w:val="0"/>
        <w:spacing w:line="360" w:lineRule="auto"/>
        <w:ind w:firstLine="640" w:firstLineChars="200"/>
        <w:rPr>
          <w:rFonts w:hint="eastAsia" w:ascii="仿宋_GB2312" w:eastAsia="仿宋_GB2312"/>
          <w:sz w:val="32"/>
          <w:szCs w:val="32"/>
          <w:lang w:eastAsia="zh-CN"/>
        </w:rPr>
      </w:pPr>
    </w:p>
    <w:p>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pPr>
        <w:pStyle w:val="6"/>
        <w:snapToGrid w:val="0"/>
        <w:spacing w:line="360" w:lineRule="auto"/>
        <w:ind w:firstLine="640" w:firstLineChars="200"/>
        <w:jc w:val="both"/>
        <w:rPr>
          <w:rFonts w:hint="eastAsia" w:ascii="仿宋" w:hAnsi="仿宋" w:eastAsia="仿宋" w:cs="仿宋"/>
          <w:sz w:val="32"/>
          <w:szCs w:val="32"/>
        </w:rPr>
      </w:pPr>
      <w:r>
        <w:rPr>
          <w:rFonts w:hint="eastAsia" w:ascii="仿宋" w:hAnsi="仿宋" w:eastAsia="仿宋" w:cs="仿宋"/>
          <w:sz w:val="32"/>
          <w:szCs w:val="32"/>
        </w:rPr>
        <w:t>主要对2018年度</w:t>
      </w:r>
      <w:r>
        <w:rPr>
          <w:rFonts w:hint="eastAsia" w:ascii="仿宋" w:hAnsi="仿宋" w:eastAsia="仿宋" w:cs="仿宋"/>
          <w:sz w:val="32"/>
          <w:szCs w:val="32"/>
          <w:lang w:eastAsia="zh-CN"/>
        </w:rPr>
        <w:t>粉煤灰清运</w:t>
      </w:r>
      <w:r>
        <w:rPr>
          <w:rFonts w:hint="eastAsia" w:ascii="仿宋" w:hAnsi="仿宋" w:eastAsia="仿宋" w:cs="仿宋"/>
          <w:sz w:val="32"/>
          <w:szCs w:val="32"/>
        </w:rPr>
        <w:t>涉及到的财政支出的经济性、效率性及效益性进行重点评价，并针对评价内容做出分析及合理化建议。</w:t>
      </w:r>
    </w:p>
    <w:p>
      <w:pPr>
        <w:numPr>
          <w:ilvl w:val="0"/>
          <w:numId w:val="3"/>
        </w:num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pStyle w:val="7"/>
        <w:adjustRightInd w:val="0"/>
        <w:snapToGrid w:val="0"/>
        <w:spacing w:line="360" w:lineRule="auto"/>
        <w:ind w:firstLineChars="0"/>
        <w:jc w:val="left"/>
        <w:rPr>
          <w:rFonts w:hint="eastAsia" w:ascii="楷体_GB2312" w:hAnsi="楷体_GB2312" w:eastAsia="楷体_GB2312" w:cs="楷体_GB2312"/>
          <w:sz w:val="32"/>
          <w:szCs w:val="32"/>
        </w:rPr>
      </w:pPr>
      <w:r>
        <w:rPr>
          <w:rFonts w:hint="eastAsia" w:ascii="仿宋" w:hAnsi="仿宋" w:eastAsia="仿宋" w:cs="仿宋"/>
          <w:color w:val="000000"/>
          <w:sz w:val="32"/>
          <w:szCs w:val="32"/>
          <w:lang w:val="en-US" w:eastAsia="zh-CN" w:bidi="ar-SA"/>
        </w:rPr>
        <w:t>主要通过现场查看及查阅相关文件资料方式开展绩效评价，运用的绩效评价方法包括：比较分析法、现场查看法、随机调查法等</w:t>
      </w:r>
      <w:bookmarkStart w:id="0" w:name="_GoBack"/>
      <w:bookmarkEnd w:id="0"/>
    </w:p>
    <w:p>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（三）建立绩效评价指标体系</w:t>
      </w:r>
    </w:p>
    <w:p>
      <w:pPr>
        <w:pStyle w:val="6"/>
        <w:snapToGrid w:val="0"/>
        <w:spacing w:line="360" w:lineRule="auto"/>
        <w:ind w:firstLine="640" w:firstLineChars="200"/>
        <w:jc w:val="both"/>
        <w:rPr>
          <w:rFonts w:hint="eastAsia" w:ascii="仿宋" w:hAnsi="仿宋" w:eastAsia="仿宋" w:cs="仿宋"/>
          <w:color w:val="000000"/>
          <w:kern w:val="2"/>
          <w:sz w:val="32"/>
          <w:szCs w:val="32"/>
          <w:lang w:val="en-US" w:eastAsia="zh-CN" w:bidi="ar-SA"/>
        </w:rPr>
      </w:pPr>
      <w:r>
        <w:rPr>
          <w:rFonts w:hint="eastAsia" w:ascii="仿宋" w:hAnsi="仿宋" w:eastAsia="仿宋" w:cs="仿宋"/>
          <w:color w:val="000000"/>
          <w:kern w:val="2"/>
          <w:sz w:val="32"/>
          <w:szCs w:val="32"/>
          <w:lang w:val="en-US" w:eastAsia="zh-CN" w:bidi="ar-SA"/>
        </w:rPr>
        <w:t>根据绩效评价内容，经论证确定指标体系共有2项一级指标，5项二级指标，7项三级指标；在三级指标下设定具体评价内容，并制定相应评分标准。</w:t>
      </w:r>
    </w:p>
    <w:p>
      <w:pPr>
        <w:ind w:firstLine="633" w:firstLineChars="198"/>
        <w:rPr>
          <w:rFonts w:hint="eastAsia" w:ascii="楷体_GB2312" w:hAnsi="楷体_GB2312" w:eastAsia="楷体_GB2312" w:cs="楷体_GB2312"/>
          <w:sz w:val="32"/>
          <w:szCs w:val="32"/>
        </w:rPr>
      </w:pP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hint="eastAsia" w:ascii="仿宋_GB2312" w:eastAsia="仿宋_GB2312"/>
          <w:sz w:val="32"/>
          <w:szCs w:val="32"/>
        </w:rPr>
      </w:pPr>
      <w:r>
        <w:rPr>
          <w:rFonts w:hint="eastAsia" w:ascii="仿宋_GB2312" w:eastAsia="仿宋_GB2312"/>
          <w:sz w:val="32"/>
          <w:szCs w:val="32"/>
        </w:rPr>
        <w:t>1、项目的实际完成率</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粉煤灰清运项目中涉及的马房村东粉煤灰共计46800方，已全部清理完成，实际完成率100%。</w:t>
      </w:r>
    </w:p>
    <w:p>
      <w:pPr>
        <w:numPr>
          <w:ilvl w:val="0"/>
          <w:numId w:val="4"/>
        </w:numPr>
        <w:ind w:firstLine="640" w:firstLineChars="200"/>
        <w:rPr>
          <w:rFonts w:hint="eastAsia" w:ascii="仿宋_GB2312" w:eastAsia="仿宋_GB2312"/>
          <w:sz w:val="32"/>
          <w:szCs w:val="32"/>
        </w:rPr>
      </w:pPr>
      <w:r>
        <w:rPr>
          <w:rFonts w:hint="eastAsia" w:ascii="仿宋_GB2312" w:eastAsia="仿宋_GB2312"/>
          <w:sz w:val="32"/>
          <w:szCs w:val="32"/>
        </w:rPr>
        <w:t>项目完成及时率</w:t>
      </w:r>
    </w:p>
    <w:p>
      <w:pPr>
        <w:ind w:firstLine="640" w:firstLineChars="200"/>
        <w:rPr>
          <w:rFonts w:hint="eastAsia" w:ascii="仿宋_GB2312" w:eastAsia="仿宋_GB2312"/>
          <w:sz w:val="32"/>
          <w:szCs w:val="32"/>
        </w:rPr>
      </w:pPr>
      <w:r>
        <w:rPr>
          <w:rFonts w:hint="eastAsia" w:ascii="仿宋_GB2312" w:eastAsia="仿宋_GB2312"/>
          <w:sz w:val="32"/>
          <w:szCs w:val="32"/>
          <w:lang w:val="en-US" w:eastAsia="zh-CN"/>
        </w:rPr>
        <w:t>粉煤灰清运项目过程中，施工方能够在规定时间内完成清运工作，完成及时率100%。</w:t>
      </w:r>
    </w:p>
    <w:p>
      <w:pPr>
        <w:numPr>
          <w:ilvl w:val="0"/>
          <w:numId w:val="4"/>
        </w:numPr>
        <w:ind w:left="0" w:leftChars="0" w:firstLine="640" w:firstLineChars="200"/>
        <w:rPr>
          <w:rFonts w:hint="eastAsia" w:ascii="仿宋_GB2312" w:eastAsia="仿宋_GB2312"/>
          <w:sz w:val="32"/>
          <w:szCs w:val="32"/>
        </w:rPr>
      </w:pPr>
      <w:r>
        <w:rPr>
          <w:rFonts w:hint="eastAsia" w:ascii="仿宋_GB2312" w:eastAsia="仿宋_GB2312"/>
          <w:sz w:val="32"/>
          <w:szCs w:val="32"/>
        </w:rPr>
        <w:t>项目完成质量达标率</w:t>
      </w:r>
    </w:p>
    <w:p>
      <w:pPr>
        <w:ind w:firstLine="640" w:firstLineChars="200"/>
        <w:rPr>
          <w:rFonts w:hint="eastAsia" w:ascii="仿宋_GB2312" w:eastAsia="仿宋_GB2312"/>
          <w:sz w:val="32"/>
          <w:szCs w:val="32"/>
        </w:rPr>
      </w:pPr>
      <w:r>
        <w:rPr>
          <w:rFonts w:hint="eastAsia" w:ascii="仿宋_GB2312" w:eastAsia="仿宋_GB2312"/>
          <w:sz w:val="32"/>
          <w:szCs w:val="32"/>
          <w:lang w:val="en-US" w:eastAsia="zh-CN"/>
        </w:rPr>
        <w:t>粉煤灰清运项目过程中，施工方能够按照招标文件中承诺的质量标准开展工作，环保验收过程中，地面基本无粉煤灰，但部分角落新土覆盖后未压实。质量达标率95%。</w:t>
      </w:r>
    </w:p>
    <w:p>
      <w:pPr>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ind w:firstLine="640" w:firstLineChars="200"/>
        <w:rPr>
          <w:rFonts w:hint="eastAsia" w:ascii="仿宋_GB2312" w:eastAsia="仿宋_GB2312"/>
          <w:sz w:val="32"/>
          <w:szCs w:val="32"/>
        </w:rPr>
      </w:pPr>
      <w:r>
        <w:rPr>
          <w:rFonts w:hint="eastAsia" w:ascii="仿宋_GB2312" w:eastAsia="仿宋_GB2312"/>
          <w:sz w:val="32"/>
          <w:szCs w:val="32"/>
          <w:lang w:val="en-US" w:eastAsia="zh-CN"/>
        </w:rPr>
        <w:t>1、</w:t>
      </w:r>
      <w:r>
        <w:rPr>
          <w:rFonts w:hint="eastAsia" w:ascii="仿宋_GB2312" w:eastAsia="仿宋_GB2312"/>
          <w:sz w:val="32"/>
          <w:szCs w:val="32"/>
        </w:rPr>
        <w:t>项目实施的生态效益分析</w:t>
      </w:r>
    </w:p>
    <w:p>
      <w:pPr>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通过实施粉煤灰清运工作，马房村东侧粉煤灰得到有效清理，由此带来的粉尘污染彻底解决。因粉尘污染造成的周边大气质量降低、农作物减产、王莽沟水质受影响等问题得到有效控制。粉煤灰清运结果得到区环保局验收通过，达到了预期的生态效益。</w:t>
      </w:r>
    </w:p>
    <w:p>
      <w:pPr>
        <w:numPr>
          <w:ilvl w:val="0"/>
          <w:numId w:val="3"/>
        </w:numPr>
        <w:ind w:left="0" w:leftChars="0" w:firstLine="633" w:firstLineChars="198"/>
        <w:rPr>
          <w:rFonts w:hint="eastAsia" w:ascii="仿宋_GB2312" w:eastAsia="仿宋_GB2312"/>
          <w:sz w:val="32"/>
          <w:szCs w:val="32"/>
        </w:rPr>
      </w:pPr>
      <w:r>
        <w:rPr>
          <w:rFonts w:hint="eastAsia" w:ascii="仿宋_GB2312" w:eastAsia="仿宋_GB2312"/>
          <w:sz w:val="32"/>
          <w:szCs w:val="32"/>
        </w:rPr>
        <w:t>满意度指标完成情况分析</w:t>
      </w:r>
    </w:p>
    <w:p>
      <w:pPr>
        <w:numPr>
          <w:ilvl w:val="0"/>
          <w:numId w:val="5"/>
        </w:num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群众满意度分析</w:t>
      </w:r>
    </w:p>
    <w:p>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粉煤灰清运工作结束后，由粉煤灰扬尘造成的大气质量较差、农作物减产、村民出行能见度低等问题得到有效解决，随机走访的群众对此项工作均表示满意。</w:t>
      </w:r>
    </w:p>
    <w:p>
      <w:pPr>
        <w:numPr>
          <w:ilvl w:val="0"/>
          <w:numId w:val="5"/>
        </w:numPr>
        <w:ind w:left="0" w:leftChars="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环保督导满意度分析</w:t>
      </w:r>
    </w:p>
    <w:p>
      <w:pPr>
        <w:numPr>
          <w:ilvl w:val="0"/>
          <w:numId w:val="0"/>
        </w:numPr>
        <w:ind w:left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马房村东粉煤灰曾因扬尘问题多次被省市环保部门进</w:t>
      </w:r>
    </w:p>
    <w:p>
      <w:pPr>
        <w:numPr>
          <w:ilvl w:val="0"/>
          <w:numId w:val="0"/>
        </w:numPr>
        <w:rPr>
          <w:rFonts w:hint="default" w:ascii="仿宋_GB2312" w:eastAsia="仿宋_GB2312"/>
          <w:sz w:val="32"/>
          <w:szCs w:val="32"/>
          <w:lang w:val="en-US" w:eastAsia="zh-CN"/>
        </w:rPr>
      </w:pPr>
      <w:r>
        <w:rPr>
          <w:rFonts w:hint="eastAsia" w:ascii="仿宋_GB2312" w:eastAsia="仿宋_GB2312"/>
          <w:sz w:val="32"/>
          <w:szCs w:val="32"/>
          <w:lang w:val="en-US" w:eastAsia="zh-CN"/>
        </w:rPr>
        <w:t>行督导问责。粉煤灰清运结束后，藁城区环保局亲自参与验收工作，对粉煤灰清运工作表示认可，并出具验收报告。</w:t>
      </w:r>
    </w:p>
    <w:p>
      <w:pPr>
        <w:ind w:firstLine="640" w:firstLineChars="200"/>
        <w:rPr>
          <w:rFonts w:hint="eastAsia" w:ascii="黑体" w:hAnsi="黑体" w:eastAsia="黑体"/>
          <w:sz w:val="32"/>
          <w:szCs w:val="32"/>
        </w:rPr>
      </w:pPr>
      <w:r>
        <w:rPr>
          <w:rFonts w:hint="eastAsia" w:ascii="黑体" w:hAnsi="黑体" w:eastAsia="黑体"/>
          <w:sz w:val="32"/>
          <w:szCs w:val="32"/>
        </w:rPr>
        <w:t>四、项目综合评价结论和评价等级</w:t>
      </w:r>
    </w:p>
    <w:p>
      <w:pPr>
        <w:pStyle w:val="6"/>
        <w:keepNext w:val="0"/>
        <w:keepLines w:val="0"/>
        <w:pageBreakBefore w:val="0"/>
        <w:widowControl w:val="0"/>
        <w:kinsoku/>
        <w:wordWrap/>
        <w:overflowPunct/>
        <w:topLinePunct w:val="0"/>
        <w:autoSpaceDE w:val="0"/>
        <w:autoSpaceDN w:val="0"/>
        <w:bidi w:val="0"/>
        <w:adjustRightInd w:val="0"/>
        <w:snapToGrid w:val="0"/>
        <w:spacing w:before="157" w:beforeLines="50" w:after="157" w:afterLines="50" w:line="360" w:lineRule="auto"/>
        <w:ind w:firstLine="640" w:firstLineChars="200"/>
        <w:jc w:val="both"/>
        <w:textAlignment w:val="auto"/>
        <w:rPr>
          <w:rFonts w:hint="eastAsia" w:ascii="仿宋_GB2312" w:eastAsia="仿宋_GB2312"/>
          <w:sz w:val="32"/>
          <w:szCs w:val="32"/>
        </w:rPr>
      </w:pPr>
      <w:r>
        <w:rPr>
          <w:rFonts w:hint="eastAsia" w:ascii="仿宋_GB2312" w:eastAsia="仿宋_GB2312"/>
          <w:sz w:val="32"/>
          <w:szCs w:val="32"/>
        </w:rPr>
        <w:t>2018年度藁城区</w:t>
      </w:r>
      <w:r>
        <w:rPr>
          <w:rFonts w:hint="eastAsia" w:ascii="仿宋_GB2312" w:eastAsia="仿宋_GB2312"/>
          <w:sz w:val="32"/>
          <w:szCs w:val="32"/>
          <w:lang w:eastAsia="zh-CN"/>
        </w:rPr>
        <w:t>粉煤灰清运项目</w:t>
      </w:r>
      <w:r>
        <w:rPr>
          <w:rFonts w:hint="eastAsia" w:ascii="仿宋_GB2312" w:eastAsia="仿宋_GB2312"/>
          <w:sz w:val="32"/>
          <w:szCs w:val="32"/>
        </w:rPr>
        <w:t>绩效评价总得分91分，绩效评价等级为优秀。</w:t>
      </w:r>
    </w:p>
    <w:p>
      <w:pPr>
        <w:pStyle w:val="6"/>
        <w:keepNext w:val="0"/>
        <w:keepLines w:val="0"/>
        <w:pageBreakBefore w:val="0"/>
        <w:widowControl w:val="0"/>
        <w:kinsoku/>
        <w:wordWrap/>
        <w:overflowPunct/>
        <w:topLinePunct w:val="0"/>
        <w:autoSpaceDE w:val="0"/>
        <w:autoSpaceDN w:val="0"/>
        <w:bidi w:val="0"/>
        <w:adjustRightInd w:val="0"/>
        <w:snapToGrid w:val="0"/>
        <w:spacing w:line="360" w:lineRule="auto"/>
        <w:ind w:firstLine="640" w:firstLineChars="200"/>
        <w:jc w:val="both"/>
        <w:textAlignment w:val="auto"/>
        <w:rPr>
          <w:rFonts w:hint="eastAsia" w:ascii="仿宋_GB2312" w:eastAsia="仿宋_GB2312"/>
          <w:sz w:val="32"/>
          <w:szCs w:val="32"/>
        </w:rPr>
      </w:pPr>
      <w:r>
        <w:rPr>
          <w:rFonts w:hint="eastAsia" w:ascii="黑体" w:hAnsi="黑体" w:eastAsia="黑体"/>
          <w:sz w:val="32"/>
          <w:szCs w:val="32"/>
        </w:rPr>
        <w:t>五、存在的问题及改进措施</w:t>
      </w:r>
    </w:p>
    <w:p>
      <w:pPr>
        <w:rPr>
          <w:rFonts w:hint="eastAsia"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（一）项目存在的主要问题</w:t>
      </w:r>
    </w:p>
    <w:p>
      <w:pPr>
        <w:ind w:firstLine="640" w:firstLineChars="200"/>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粉煤灰清运完成后，马房村委会、南营镇政府对该地块的所有者进行了谈话，明确告诫其不准再次堆放粉煤灰。但仍存在用于种植以外其他生产经营活动的可能。</w:t>
      </w:r>
    </w:p>
    <w:p>
      <w:pPr>
        <w:numPr>
          <w:ilvl w:val="0"/>
          <w:numId w:val="6"/>
        </w:numPr>
        <w:ind w:left="480" w:leftChars="0" w:firstLine="0" w:firstLineChars="0"/>
        <w:rPr>
          <w:rFonts w:hint="eastAsia" w:ascii="楷体_GB2312" w:hAnsi="楷体_GB2312" w:eastAsia="楷体_GB2312"/>
          <w:sz w:val="32"/>
          <w:szCs w:val="32"/>
        </w:rPr>
      </w:pPr>
      <w:r>
        <w:rPr>
          <w:rFonts w:hint="eastAsia" w:ascii="楷体_GB2312" w:hAnsi="楷体_GB2312" w:eastAsia="楷体_GB2312"/>
          <w:sz w:val="32"/>
          <w:szCs w:val="32"/>
        </w:rPr>
        <w:t>针对问题提出具体的改进措施或建议</w:t>
      </w:r>
    </w:p>
    <w:p>
      <w:pPr>
        <w:ind w:firstLine="640" w:firstLineChars="200"/>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建议马房村、南营镇政府相关工作人员加强对该地块的巡查工作，避免其存放其他危废物料或者从事与政策法规不符的生产经营活动。</w:t>
      </w:r>
    </w:p>
    <w:p>
      <w:pPr>
        <w:numPr>
          <w:ilvl w:val="0"/>
          <w:numId w:val="7"/>
        </w:numPr>
        <w:adjustRightInd w:val="0"/>
        <w:snapToGrid w:val="0"/>
        <w:spacing w:line="360" w:lineRule="auto"/>
        <w:ind w:firstLine="640" w:firstLineChars="200"/>
        <w:rPr>
          <w:rFonts w:hint="eastAsia" w:ascii="黑体" w:eastAsia="黑体"/>
          <w:sz w:val="32"/>
          <w:szCs w:val="32"/>
        </w:rPr>
      </w:pPr>
      <w:r>
        <w:rPr>
          <w:rFonts w:hint="eastAsia" w:ascii="黑体" w:eastAsia="黑体"/>
          <w:sz w:val="32"/>
          <w:szCs w:val="32"/>
        </w:rPr>
        <w:t>评价工作组人员名单及签字</w:t>
      </w:r>
    </w:p>
    <w:p>
      <w:pPr>
        <w:widowControl w:val="0"/>
        <w:numPr>
          <w:ilvl w:val="0"/>
          <w:numId w:val="0"/>
        </w:numPr>
        <w:adjustRightInd w:val="0"/>
        <w:snapToGrid w:val="0"/>
        <w:spacing w:line="360" w:lineRule="auto"/>
        <w:jc w:val="both"/>
        <w:rPr>
          <w:rFonts w:hint="eastAsia" w:ascii="黑体" w:eastAsia="黑体"/>
          <w:sz w:val="32"/>
          <w:szCs w:val="32"/>
        </w:rPr>
      </w:pPr>
    </w:p>
    <w:p>
      <w:pPr>
        <w:widowControl w:val="0"/>
        <w:numPr>
          <w:ilvl w:val="0"/>
          <w:numId w:val="0"/>
        </w:numPr>
        <w:adjustRightInd w:val="0"/>
        <w:snapToGrid w:val="0"/>
        <w:spacing w:line="360" w:lineRule="auto"/>
        <w:jc w:val="both"/>
        <w:rPr>
          <w:rFonts w:hint="eastAsia" w:ascii="黑体" w:eastAsia="黑体"/>
          <w:sz w:val="32"/>
          <w:szCs w:val="32"/>
        </w:rPr>
      </w:pPr>
    </w:p>
    <w:tbl>
      <w:tblPr>
        <w:tblStyle w:val="3"/>
        <w:tblW w:w="87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97"/>
        <w:gridCol w:w="1485"/>
        <w:gridCol w:w="2290"/>
        <w:gridCol w:w="1903"/>
        <w:gridCol w:w="17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43" w:hRule="atLeast"/>
        </w:trPr>
        <w:tc>
          <w:tcPr>
            <w:tcW w:w="1297"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序号</w:t>
            </w:r>
          </w:p>
        </w:tc>
        <w:tc>
          <w:tcPr>
            <w:tcW w:w="1485"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姓名</w:t>
            </w:r>
          </w:p>
        </w:tc>
        <w:tc>
          <w:tcPr>
            <w:tcW w:w="2290"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职  务</w:t>
            </w:r>
          </w:p>
        </w:tc>
        <w:tc>
          <w:tcPr>
            <w:tcW w:w="1903"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单  位</w:t>
            </w:r>
          </w:p>
        </w:tc>
        <w:tc>
          <w:tcPr>
            <w:tcW w:w="1745" w:type="dxa"/>
            <w:vAlign w:val="center"/>
          </w:tcPr>
          <w:p>
            <w:pPr>
              <w:ind w:firstLine="320" w:firstLineChars="100"/>
              <w:jc w:val="both"/>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签  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70" w:hRule="atLeast"/>
        </w:trPr>
        <w:tc>
          <w:tcPr>
            <w:tcW w:w="1297"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1</w:t>
            </w:r>
          </w:p>
        </w:tc>
        <w:tc>
          <w:tcPr>
            <w:tcW w:w="1485"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尔学军</w:t>
            </w:r>
          </w:p>
        </w:tc>
        <w:tc>
          <w:tcPr>
            <w:tcW w:w="2290"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副书记</w:t>
            </w:r>
          </w:p>
        </w:tc>
        <w:tc>
          <w:tcPr>
            <w:tcW w:w="1903"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南营镇政府</w:t>
            </w:r>
          </w:p>
        </w:tc>
        <w:tc>
          <w:tcPr>
            <w:tcW w:w="1745" w:type="dxa"/>
            <w:vAlign w:val="center"/>
          </w:tcPr>
          <w:p>
            <w:pPr>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37" w:hRule="atLeast"/>
        </w:trPr>
        <w:tc>
          <w:tcPr>
            <w:tcW w:w="1297"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2</w:t>
            </w:r>
          </w:p>
        </w:tc>
        <w:tc>
          <w:tcPr>
            <w:tcW w:w="1485"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桑红卫</w:t>
            </w:r>
          </w:p>
        </w:tc>
        <w:tc>
          <w:tcPr>
            <w:tcW w:w="2290"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副镇长</w:t>
            </w:r>
          </w:p>
        </w:tc>
        <w:tc>
          <w:tcPr>
            <w:tcW w:w="1903"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南营镇政府</w:t>
            </w:r>
          </w:p>
        </w:tc>
        <w:tc>
          <w:tcPr>
            <w:tcW w:w="1745" w:type="dxa"/>
            <w:vAlign w:val="center"/>
          </w:tcPr>
          <w:p>
            <w:pPr>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46" w:hRule="atLeast"/>
        </w:trPr>
        <w:tc>
          <w:tcPr>
            <w:tcW w:w="1297"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3</w:t>
            </w:r>
          </w:p>
        </w:tc>
        <w:tc>
          <w:tcPr>
            <w:tcW w:w="1485"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党志伟</w:t>
            </w:r>
          </w:p>
        </w:tc>
        <w:tc>
          <w:tcPr>
            <w:tcW w:w="2290"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财政所所长</w:t>
            </w:r>
          </w:p>
        </w:tc>
        <w:tc>
          <w:tcPr>
            <w:tcW w:w="1903"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南营镇政府</w:t>
            </w:r>
          </w:p>
        </w:tc>
        <w:tc>
          <w:tcPr>
            <w:tcW w:w="1745" w:type="dxa"/>
            <w:vAlign w:val="center"/>
          </w:tcPr>
          <w:p>
            <w:pPr>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87" w:hRule="atLeast"/>
        </w:trPr>
        <w:tc>
          <w:tcPr>
            <w:tcW w:w="1297"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4</w:t>
            </w:r>
          </w:p>
        </w:tc>
        <w:tc>
          <w:tcPr>
            <w:tcW w:w="1485"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何晓盼</w:t>
            </w:r>
          </w:p>
        </w:tc>
        <w:tc>
          <w:tcPr>
            <w:tcW w:w="2290"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环保所所长</w:t>
            </w:r>
          </w:p>
        </w:tc>
        <w:tc>
          <w:tcPr>
            <w:tcW w:w="1903"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南营镇政府</w:t>
            </w:r>
          </w:p>
        </w:tc>
        <w:tc>
          <w:tcPr>
            <w:tcW w:w="1745" w:type="dxa"/>
            <w:vAlign w:val="center"/>
          </w:tcPr>
          <w:p>
            <w:pPr>
              <w:ind w:firstLine="640" w:firstLineChars="200"/>
              <w:jc w:val="center"/>
              <w:rPr>
                <w:rFonts w:hint="eastAsia" w:ascii="仿宋_GB2312" w:hAnsi="宋体" w:eastAsia="仿宋_GB2312" w:cs="宋体"/>
                <w:color w:val="000000"/>
                <w:kern w:val="0"/>
                <w:sz w:val="32"/>
                <w:szCs w:val="32"/>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88" w:hRule="atLeast"/>
        </w:trPr>
        <w:tc>
          <w:tcPr>
            <w:tcW w:w="1297"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5</w:t>
            </w:r>
          </w:p>
        </w:tc>
        <w:tc>
          <w:tcPr>
            <w:tcW w:w="1485"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李剑</w:t>
            </w:r>
          </w:p>
        </w:tc>
        <w:tc>
          <w:tcPr>
            <w:tcW w:w="2290"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土地所所长</w:t>
            </w:r>
          </w:p>
        </w:tc>
        <w:tc>
          <w:tcPr>
            <w:tcW w:w="1903" w:type="dxa"/>
            <w:vAlign w:val="center"/>
          </w:tcPr>
          <w:p>
            <w:pPr>
              <w:jc w:val="center"/>
              <w:rPr>
                <w:rFonts w:hint="eastAsia" w:ascii="仿宋_GB2312" w:hAnsi="宋体" w:eastAsia="仿宋_GB2312" w:cs="宋体"/>
                <w:color w:val="000000"/>
                <w:kern w:val="0"/>
                <w:sz w:val="32"/>
                <w:szCs w:val="32"/>
                <w:lang w:val="en-US" w:eastAsia="zh-CN" w:bidi="ar-SA"/>
              </w:rPr>
            </w:pPr>
            <w:r>
              <w:rPr>
                <w:rFonts w:hint="eastAsia" w:ascii="仿宋_GB2312" w:hAnsi="宋体" w:eastAsia="仿宋_GB2312" w:cs="宋体"/>
                <w:color w:val="000000"/>
                <w:kern w:val="0"/>
                <w:sz w:val="32"/>
                <w:szCs w:val="32"/>
                <w:lang w:val="en-US" w:eastAsia="zh-CN" w:bidi="ar-SA"/>
              </w:rPr>
              <w:t>南营镇政府</w:t>
            </w:r>
          </w:p>
        </w:tc>
        <w:tc>
          <w:tcPr>
            <w:tcW w:w="1745" w:type="dxa"/>
            <w:vAlign w:val="center"/>
          </w:tcPr>
          <w:p>
            <w:pPr>
              <w:ind w:firstLine="640" w:firstLineChars="200"/>
              <w:jc w:val="center"/>
              <w:rPr>
                <w:rFonts w:hint="eastAsia" w:ascii="仿宋_GB2312" w:hAnsi="宋体" w:eastAsia="仿宋_GB2312" w:cs="宋体"/>
                <w:color w:val="000000"/>
                <w:kern w:val="0"/>
                <w:sz w:val="32"/>
                <w:szCs w:val="32"/>
                <w:lang w:val="en-US" w:eastAsia="zh-CN" w:bidi="ar-SA"/>
              </w:rPr>
            </w:pPr>
          </w:p>
        </w:tc>
      </w:tr>
    </w:tbl>
    <w:p>
      <w:pPr>
        <w:widowControl w:val="0"/>
        <w:numPr>
          <w:ilvl w:val="0"/>
          <w:numId w:val="0"/>
        </w:numPr>
        <w:adjustRightInd w:val="0"/>
        <w:snapToGrid w:val="0"/>
        <w:spacing w:line="360" w:lineRule="auto"/>
        <w:jc w:val="both"/>
        <w:rPr>
          <w:rFonts w:hint="eastAsia" w:ascii="黑体" w:eastAsia="黑体"/>
          <w:sz w:val="32"/>
          <w:szCs w:val="32"/>
        </w:rPr>
      </w:pPr>
    </w:p>
    <w:p/>
    <w:p/>
    <w:p/>
    <w:p/>
    <w:p>
      <w:pPr>
        <w:ind w:firstLine="5760" w:firstLineChars="1800"/>
        <w:rPr>
          <w:rFonts w:hint="eastAsia" w:ascii="仿宋" w:hAnsi="仿宋" w:eastAsia="仿宋" w:cs="仿宋"/>
          <w:sz w:val="32"/>
          <w:szCs w:val="32"/>
          <w:lang w:eastAsia="zh-CN"/>
        </w:rPr>
      </w:pPr>
      <w:r>
        <w:rPr>
          <w:rFonts w:hint="eastAsia" w:ascii="仿宋" w:hAnsi="仿宋" w:eastAsia="仿宋" w:cs="仿宋"/>
          <w:sz w:val="32"/>
          <w:szCs w:val="32"/>
          <w:lang w:eastAsia="zh-CN"/>
        </w:rPr>
        <w:t>南营镇人民政府</w:t>
      </w:r>
    </w:p>
    <w:p>
      <w:pPr>
        <w:ind w:firstLine="5760" w:firstLineChars="18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2019年9月23日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6A2F9B"/>
    <w:multiLevelType w:val="singleLevel"/>
    <w:tmpl w:val="086A2F9B"/>
    <w:lvl w:ilvl="0" w:tentative="0">
      <w:start w:val="2"/>
      <w:numFmt w:val="decimal"/>
      <w:suff w:val="nothing"/>
      <w:lvlText w:val="（%1）"/>
      <w:lvlJc w:val="left"/>
    </w:lvl>
  </w:abstractNum>
  <w:abstractNum w:abstractNumId="1">
    <w:nsid w:val="0A6FFA85"/>
    <w:multiLevelType w:val="singleLevel"/>
    <w:tmpl w:val="0A6FFA85"/>
    <w:lvl w:ilvl="0" w:tentative="0">
      <w:start w:val="2"/>
      <w:numFmt w:val="decimal"/>
      <w:lvlText w:val="%1."/>
      <w:lvlJc w:val="left"/>
      <w:pPr>
        <w:tabs>
          <w:tab w:val="left" w:pos="312"/>
        </w:tabs>
        <w:ind w:left="800" w:leftChars="0" w:firstLine="0" w:firstLineChars="0"/>
      </w:pPr>
    </w:lvl>
  </w:abstractNum>
  <w:abstractNum w:abstractNumId="2">
    <w:nsid w:val="1E312E73"/>
    <w:multiLevelType w:val="singleLevel"/>
    <w:tmpl w:val="1E312E73"/>
    <w:lvl w:ilvl="0" w:tentative="0">
      <w:start w:val="2"/>
      <w:numFmt w:val="chineseCounting"/>
      <w:suff w:val="nothing"/>
      <w:lvlText w:val="（%1）"/>
      <w:lvlJc w:val="left"/>
      <w:pPr>
        <w:ind w:left="480" w:leftChars="0" w:firstLine="0" w:firstLineChars="0"/>
      </w:pPr>
      <w:rPr>
        <w:rFonts w:hint="eastAsia"/>
      </w:rPr>
    </w:lvl>
  </w:abstractNum>
  <w:abstractNum w:abstractNumId="3">
    <w:nsid w:val="40B67AEE"/>
    <w:multiLevelType w:val="singleLevel"/>
    <w:tmpl w:val="40B67AEE"/>
    <w:lvl w:ilvl="0" w:tentative="0">
      <w:start w:val="1"/>
      <w:numFmt w:val="decimal"/>
      <w:suff w:val="nothing"/>
      <w:lvlText w:val="%1、"/>
      <w:lvlJc w:val="left"/>
    </w:lvl>
  </w:abstractNum>
  <w:abstractNum w:abstractNumId="4">
    <w:nsid w:val="437563B1"/>
    <w:multiLevelType w:val="singleLevel"/>
    <w:tmpl w:val="437563B1"/>
    <w:lvl w:ilvl="0" w:tentative="0">
      <w:start w:val="2"/>
      <w:numFmt w:val="decimal"/>
      <w:suff w:val="nothing"/>
      <w:lvlText w:val="%1、"/>
      <w:lvlJc w:val="left"/>
    </w:lvl>
  </w:abstractNum>
  <w:abstractNum w:abstractNumId="5">
    <w:nsid w:val="451AFF97"/>
    <w:multiLevelType w:val="singleLevel"/>
    <w:tmpl w:val="451AFF97"/>
    <w:lvl w:ilvl="0" w:tentative="0">
      <w:start w:val="6"/>
      <w:numFmt w:val="chineseCounting"/>
      <w:suff w:val="nothing"/>
      <w:lvlText w:val="%1、"/>
      <w:lvlJc w:val="left"/>
      <w:rPr>
        <w:rFonts w:hint="eastAsia"/>
      </w:rPr>
    </w:lvl>
  </w:abstractNum>
  <w:abstractNum w:abstractNumId="6">
    <w:nsid w:val="5AC4878C"/>
    <w:multiLevelType w:val="singleLevel"/>
    <w:tmpl w:val="5AC4878C"/>
    <w:lvl w:ilvl="0" w:tentative="0">
      <w:start w:val="2"/>
      <w:numFmt w:val="chineseCounting"/>
      <w:suff w:val="nothing"/>
      <w:lvlText w:val="（%1）"/>
      <w:lvlJc w:val="left"/>
      <w:rPr>
        <w:rFonts w:hint="eastAsia"/>
      </w:rPr>
    </w:lvl>
  </w:abstractNum>
  <w:num w:numId="1">
    <w:abstractNumId w:val="1"/>
  </w:num>
  <w:num w:numId="2">
    <w:abstractNumId w:val="0"/>
  </w:num>
  <w:num w:numId="3">
    <w:abstractNumId w:val="6"/>
  </w:num>
  <w:num w:numId="4">
    <w:abstractNumId w:val="4"/>
  </w:num>
  <w:num w:numId="5">
    <w:abstractNumId w:val="3"/>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1AA504A6"/>
    <w:rsid w:val="386B0815"/>
    <w:rsid w:val="3E23174D"/>
    <w:rsid w:val="410A04B2"/>
    <w:rsid w:val="4A1A1EFD"/>
    <w:rsid w:val="6C4A5637"/>
    <w:rsid w:val="713C04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qFormat/>
    <w:uiPriority w:val="99"/>
    <w:tblPr>
      <w:tblLayout w:type="fixed"/>
      <w:tblCellMar>
        <w:top w:w="0" w:type="dxa"/>
        <w:left w:w="108" w:type="dxa"/>
        <w:bottom w:w="0" w:type="dxa"/>
        <w:right w:w="108" w:type="dxa"/>
      </w:tblCellMar>
    </w:tblPr>
  </w:style>
  <w:style w:type="table" w:styleId="3">
    <w:name w:val="Table Grid"/>
    <w:basedOn w:val="2"/>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5">
    <w:name w:val="默认段落字体 Para Char Char Char Char Char Char Char"/>
    <w:basedOn w:val="1"/>
    <w:qFormat/>
    <w:uiPriority w:val="0"/>
  </w:style>
  <w:style w:type="paragraph" w:customStyle="1" w:styleId="6">
    <w:name w:val="Default"/>
    <w:qFormat/>
    <w:uiPriority w:val="0"/>
    <w:pPr>
      <w:widowControl w:val="0"/>
      <w:autoSpaceDE w:val="0"/>
      <w:autoSpaceDN w:val="0"/>
      <w:adjustRightInd w:val="0"/>
    </w:pPr>
    <w:rPr>
      <w:rFonts w:ascii="宋体" w:hAnsi="宋体" w:cs="宋体" w:eastAsiaTheme="minorEastAsia"/>
      <w:color w:val="000000"/>
      <w:sz w:val="24"/>
      <w:szCs w:val="24"/>
      <w:lang w:val="en-US" w:eastAsia="zh-CN" w:bidi="ar-SA"/>
    </w:rPr>
  </w:style>
  <w:style w:type="paragraph" w:customStyle="1" w:styleId="7">
    <w:name w:val="列出段落1"/>
    <w:basedOn w:val="1"/>
    <w:unhideWhenUsed/>
    <w:qFormat/>
    <w:uiPriority w:val="99"/>
    <w:pPr>
      <w:ind w:firstLine="420" w:firstLineChars="200"/>
    </w:pPr>
    <w:rPr>
      <w:rFonts w:ascii="Times New Roman" w:hAnsi="Times New Roman" w:eastAsia="宋体" w:cs="Times New Roman"/>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18</TotalTime>
  <ScaleCrop>false</ScaleCrop>
  <LinksUpToDate>false</LinksUpToDate>
  <CharactersWithSpaces>822</CharactersWithSpaces>
  <Application>WPS Office_11.3.0.8632_F1E327BC-269C-435d-A152-05C5408002CA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Administrator</cp:lastModifiedBy>
  <cp:lastPrinted>2019-09-23T02:28:00Z</cp:lastPrinted>
  <dcterms:modified xsi:type="dcterms:W3CDTF">2020-03-05T02:34:44Z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2052-11.3.0.8632</vt:lpwstr>
  </property>
</Properties>
</file>