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仿宋" w:hAnsi="仿宋" w:eastAsia="仿宋" w:cs="仿宋"/>
          <w:sz w:val="32"/>
          <w:szCs w:val="32"/>
        </w:rPr>
      </w:pPr>
      <w:r>
        <w:rPr>
          <w:rFonts w:hint="eastAsia" w:ascii="宋体" w:hAnsi="宋体"/>
          <w:sz w:val="36"/>
          <w:szCs w:val="36"/>
          <w:lang w:eastAsia="zh-CN"/>
        </w:rPr>
        <w:t>石家庄市藁城区行政审批</w:t>
      </w:r>
      <w:r>
        <w:rPr>
          <w:rFonts w:hint="eastAsia" w:ascii="宋体" w:hAnsi="宋体"/>
          <w:sz w:val="36"/>
          <w:szCs w:val="36"/>
        </w:rPr>
        <w:t>局</w:t>
      </w:r>
      <w:r>
        <w:rPr>
          <w:rFonts w:hint="eastAsia" w:ascii="宋体" w:hAnsi="宋体"/>
          <w:sz w:val="36"/>
          <w:szCs w:val="36"/>
          <w:lang w:eastAsia="zh-CN"/>
        </w:rPr>
        <w:t>办公场所租赁费</w:t>
      </w:r>
      <w:r>
        <w:rPr>
          <w:rFonts w:hint="eastAsia" w:ascii="宋体" w:hAnsi="宋体"/>
          <w:sz w:val="36"/>
          <w:szCs w:val="36"/>
        </w:rPr>
        <w:t>项目</w:t>
      </w: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办公场所租赁费</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 xml:space="preserve"> 1.</w:t>
      </w:r>
      <w:r>
        <w:rPr>
          <w:rFonts w:hint="eastAsia" w:ascii="仿宋_GB2312" w:eastAsia="仿宋_GB2312"/>
          <w:sz w:val="32"/>
          <w:szCs w:val="32"/>
          <w:lang w:eastAsia="zh-CN"/>
        </w:rPr>
        <w:t>项目由藁城区行政审批局向财政申请办公租赁费</w:t>
      </w:r>
      <w:r>
        <w:rPr>
          <w:rFonts w:hint="eastAsia" w:ascii="仿宋_GB2312" w:eastAsia="仿宋_GB2312"/>
          <w:sz w:val="32"/>
          <w:szCs w:val="32"/>
          <w:lang w:val="en-US" w:eastAsia="zh-CN"/>
        </w:rPr>
        <w:t>25万元列入预算的请求，区财政下达拨入办公场所租赁费25万元。</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区审批局位于藁城区廉州东路49号，租赁区电力局一楼二楼大厅面积约2000平米，2002年由区政府协商，与区电力局签订租赁合同至今。</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w:t>
      </w:r>
      <w:r>
        <w:rPr>
          <w:rFonts w:hint="eastAsia" w:ascii="仿宋_GB2312" w:eastAsia="仿宋_GB2312"/>
          <w:sz w:val="32"/>
          <w:szCs w:val="32"/>
        </w:rPr>
        <w:t>项目</w:t>
      </w:r>
      <w:r>
        <w:rPr>
          <w:rFonts w:hint="eastAsia" w:ascii="仿宋_GB2312" w:eastAsia="仿宋_GB2312"/>
          <w:sz w:val="32"/>
          <w:szCs w:val="32"/>
          <w:lang w:eastAsia="zh-CN"/>
        </w:rPr>
        <w:t>由区财政局下达</w:t>
      </w:r>
      <w:r>
        <w:rPr>
          <w:rFonts w:hint="eastAsia" w:ascii="仿宋_GB2312" w:eastAsia="仿宋_GB2312"/>
          <w:sz w:val="32"/>
          <w:szCs w:val="32"/>
          <w:lang w:val="en-US" w:eastAsia="zh-CN"/>
        </w:rPr>
        <w:t>25万预算费用，用于区审批局支付办公场所租赁费。</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rPr>
        <w:t>3.项目资金</w:t>
      </w:r>
      <w:r>
        <w:rPr>
          <w:rFonts w:hint="eastAsia" w:ascii="仿宋_GB2312" w:eastAsia="仿宋_GB2312"/>
          <w:sz w:val="32"/>
          <w:szCs w:val="32"/>
          <w:lang w:eastAsia="zh-CN"/>
        </w:rPr>
        <w:t>由区财政直接下达区审批局，</w:t>
      </w:r>
      <w:r>
        <w:rPr>
          <w:rFonts w:hint="eastAsia" w:ascii="仿宋_GB2312" w:eastAsia="仿宋_GB2312"/>
          <w:sz w:val="32"/>
          <w:szCs w:val="32"/>
          <w:lang w:val="en-US" w:eastAsia="zh-CN"/>
        </w:rPr>
        <w:t>25万元租赁费于2018年3月前到位，资金来源为一级预算。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lang w:eastAsia="zh-CN"/>
        </w:rPr>
      </w:pPr>
      <w:r>
        <w:rPr>
          <w:rFonts w:hint="eastAsia" w:ascii="仿宋_GB2312" w:eastAsia="仿宋_GB2312"/>
          <w:sz w:val="32"/>
          <w:szCs w:val="32"/>
        </w:rPr>
        <w:t>（1）业务管理情况分析。</w:t>
      </w:r>
      <w:r>
        <w:rPr>
          <w:rFonts w:hint="eastAsia" w:ascii="仿宋_GB2312" w:eastAsia="仿宋_GB2312"/>
          <w:sz w:val="32"/>
          <w:szCs w:val="32"/>
          <w:lang w:eastAsia="zh-CN"/>
        </w:rPr>
        <w:t>区审批局按照与区电力局签订的租赁合同，按时拨付房屋租赁费以保障区审批局正常办公。</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仿宋_GB2312" w:eastAsia="仿宋_GB2312"/>
          <w:sz w:val="32"/>
          <w:szCs w:val="32"/>
        </w:rPr>
        <w:t>（2）财务管理。</w:t>
      </w:r>
      <w:r>
        <w:rPr>
          <w:rFonts w:hint="eastAsia" w:ascii="仿宋_GB2312" w:eastAsia="仿宋_GB2312"/>
          <w:sz w:val="32"/>
          <w:szCs w:val="32"/>
          <w:lang w:eastAsia="zh-CN"/>
        </w:rPr>
        <w:t>区审批局在实施此项目中，严格遵守国家财经纪律和财务管理制度，资金拨付有完整的流程和拨付手续，账目清晰，票据及相关票据齐全。办公场所租赁费从河北省财政管理信息系统一体化平台通过电子支付转账方式转国家河北省电子有限公司石家庄市藁城区供电分公司</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（二）</w:t>
      </w:r>
      <w:r>
        <w:rPr>
          <w:rFonts w:hint="eastAsia" w:ascii="仿宋_GB2312" w:eastAsia="仿宋_GB2312"/>
          <w:sz w:val="32"/>
          <w:szCs w:val="32"/>
        </w:rPr>
        <w:t>项目预期绩效总目标，</w:t>
      </w:r>
      <w:r>
        <w:rPr>
          <w:rFonts w:hint="eastAsia" w:ascii="仿宋_GB2312" w:eastAsia="仿宋_GB2312"/>
          <w:sz w:val="32"/>
          <w:szCs w:val="32"/>
          <w:lang w:eastAsia="zh-CN"/>
        </w:rPr>
        <w:t>根据房屋租赁合同，足额支付租赁费，保证区审批局工作正常开展。</w:t>
      </w:r>
    </w:p>
    <w:p>
      <w:pPr>
        <w:adjustRightInd w:val="0"/>
        <w:snapToGrid w:val="0"/>
        <w:spacing w:line="360" w:lineRule="auto"/>
        <w:ind w:firstLine="640" w:firstLineChars="20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主要针对</w:t>
      </w:r>
      <w:r>
        <w:rPr>
          <w:rFonts w:hint="eastAsia" w:ascii="楷体_GB2312" w:hAnsi="楷体_GB2312" w:eastAsia="楷体_GB2312" w:cs="楷体_GB2312"/>
          <w:sz w:val="32"/>
          <w:szCs w:val="32"/>
          <w:lang w:val="en-US" w:eastAsia="zh-CN"/>
        </w:rPr>
        <w:t>2018年办公场所租赁费涉及到财政支出时效性、效益性，可影响性进行重点评估并针对评价内容提出分析和合理性建议。</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1、</w:t>
      </w:r>
      <w:r>
        <w:rPr>
          <w:rFonts w:hint="eastAsia" w:ascii="仿宋_GB2312" w:eastAsia="仿宋_GB2312"/>
          <w:sz w:val="32"/>
          <w:szCs w:val="32"/>
          <w:lang w:val="en-US" w:eastAsia="zh-CN"/>
        </w:rPr>
        <w:t>2018年7月底前办公场所租赁费全部支出，项目资金25万全部落实，完成率100%</w:t>
      </w:r>
    </w:p>
    <w:p>
      <w:pPr>
        <w:numPr>
          <w:ilvl w:val="0"/>
          <w:numId w:val="1"/>
        </w:numPr>
        <w:ind w:firstLine="640" w:firstLineChars="200"/>
        <w:rPr>
          <w:rFonts w:hint="eastAsia" w:ascii="仿宋_GB2312" w:eastAsia="仿宋_GB2312"/>
          <w:sz w:val="32"/>
          <w:szCs w:val="32"/>
        </w:rPr>
      </w:pPr>
      <w:r>
        <w:rPr>
          <w:rFonts w:hint="eastAsia" w:ascii="仿宋_GB2312" w:eastAsia="仿宋_GB2312"/>
          <w:sz w:val="32"/>
          <w:szCs w:val="32"/>
        </w:rPr>
        <w:t>项目完成及时率</w:t>
      </w:r>
    </w:p>
    <w:p>
      <w:pPr>
        <w:numPr>
          <w:ilvl w:val="0"/>
          <w:numId w:val="0"/>
        </w:numPr>
        <w:ind w:firstLine="960" w:firstLineChars="300"/>
        <w:rPr>
          <w:rFonts w:hint="default" w:ascii="仿宋_GB2312" w:eastAsia="仿宋_GB2312"/>
          <w:sz w:val="32"/>
          <w:szCs w:val="32"/>
          <w:lang w:val="en-US" w:eastAsia="zh-CN"/>
        </w:rPr>
      </w:pPr>
      <w:r>
        <w:rPr>
          <w:rFonts w:hint="eastAsia" w:ascii="仿宋_GB2312" w:eastAsia="仿宋_GB2312"/>
          <w:sz w:val="32"/>
          <w:szCs w:val="32"/>
        </w:rPr>
        <w:t>项目完成</w:t>
      </w:r>
      <w:r>
        <w:rPr>
          <w:rFonts w:hint="eastAsia" w:ascii="仿宋_GB2312" w:eastAsia="仿宋_GB2312"/>
          <w:sz w:val="32"/>
          <w:szCs w:val="32"/>
          <w:lang w:eastAsia="zh-CN"/>
        </w:rPr>
        <w:t>及时率</w:t>
      </w:r>
      <w:r>
        <w:rPr>
          <w:rFonts w:hint="eastAsia" w:ascii="仿宋_GB2312" w:eastAsia="仿宋_GB2312"/>
          <w:sz w:val="32"/>
          <w:szCs w:val="32"/>
          <w:lang w:val="en-US" w:eastAsia="zh-CN"/>
        </w:rPr>
        <w:t>100%</w:t>
      </w:r>
    </w:p>
    <w:p>
      <w:pPr>
        <w:numPr>
          <w:ilvl w:val="0"/>
          <w:numId w:val="1"/>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numPr>
          <w:ilvl w:val="0"/>
          <w:numId w:val="0"/>
        </w:numPr>
        <w:ind w:leftChars="200"/>
        <w:rPr>
          <w:rFonts w:hint="default" w:ascii="仿宋_GB2312" w:eastAsia="仿宋_GB2312"/>
          <w:sz w:val="32"/>
          <w:szCs w:val="32"/>
          <w:lang w:val="en-US" w:eastAsia="zh-CN"/>
        </w:rPr>
      </w:pPr>
      <w:r>
        <w:rPr>
          <w:rFonts w:hint="eastAsia" w:ascii="仿宋_GB2312" w:eastAsia="仿宋_GB2312"/>
          <w:sz w:val="32"/>
          <w:szCs w:val="32"/>
          <w:lang w:val="en-US" w:eastAsia="zh-CN"/>
        </w:rPr>
        <w:t>质量达标100%</w:t>
      </w:r>
    </w:p>
    <w:p>
      <w:pPr>
        <w:ind w:firstLine="640" w:firstLineChars="200"/>
        <w:rPr>
          <w:rFonts w:hint="eastAsia" w:ascii="仿宋_GB2312" w:eastAsia="仿宋_GB2312"/>
          <w:sz w:val="32"/>
          <w:szCs w:val="32"/>
        </w:rPr>
      </w:pPr>
      <w:r>
        <w:rPr>
          <w:rFonts w:hint="eastAsia" w:ascii="仿宋_GB2312" w:eastAsia="仿宋_GB2312"/>
          <w:sz w:val="32"/>
          <w:szCs w:val="32"/>
        </w:rPr>
        <w:t>4、项目成本节约率</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lang w:val="en-US" w:eastAsia="zh-CN"/>
        </w:rPr>
        <w:t>1、</w:t>
      </w:r>
      <w:r>
        <w:rPr>
          <w:rFonts w:hint="eastAsia" w:ascii="仿宋_GB2312" w:eastAsia="仿宋_GB2312"/>
          <w:sz w:val="32"/>
          <w:szCs w:val="32"/>
        </w:rPr>
        <w:t>项目实施的社会效益分析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区审批局做为窗口单位，对办公场所有着很高要求，项目实施更好的保障区审批局工作人员正常开展工作，也方便群众办事，方便服务对象。</w:t>
      </w:r>
    </w:p>
    <w:p>
      <w:pPr>
        <w:numPr>
          <w:ilvl w:val="0"/>
          <w:numId w:val="2"/>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项目实施的可持续性影响分析</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租赁窗口的办公场所对审批工作开展创造了条件和基础。</w:t>
      </w:r>
    </w:p>
    <w:p>
      <w:pPr>
        <w:numPr>
          <w:ilvl w:val="0"/>
          <w:numId w:val="3"/>
        </w:numPr>
        <w:rPr>
          <w:rFonts w:hint="eastAsia" w:ascii="仿宋_GB2312" w:eastAsia="仿宋_GB2312"/>
          <w:sz w:val="32"/>
          <w:szCs w:val="32"/>
        </w:rPr>
      </w:pPr>
      <w:r>
        <w:rPr>
          <w:rFonts w:hint="eastAsia" w:ascii="仿宋_GB2312" w:eastAsia="仿宋_GB2312"/>
          <w:sz w:val="32"/>
          <w:szCs w:val="32"/>
        </w:rPr>
        <w:t>满意度指标完成情况分析</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eastAsia="zh-CN"/>
        </w:rPr>
        <w:t>保障区审批局工作人员正常开展工作，也方便群众办事，方便服务对象</w:t>
      </w:r>
    </w:p>
    <w:p>
      <w:pPr>
        <w:ind w:firstLine="320" w:firstLineChars="1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 w:hAnsi="仿宋" w:eastAsia="仿宋" w:cs="仿宋"/>
          <w:sz w:val="32"/>
          <w:szCs w:val="32"/>
          <w:lang w:val="en-US" w:eastAsia="zh-CN"/>
        </w:rPr>
        <w:t>2018年办公场所租赁费</w:t>
      </w:r>
      <w:r>
        <w:rPr>
          <w:rFonts w:hint="eastAsia" w:ascii="仿宋_GB2312" w:eastAsia="仿宋_GB2312"/>
          <w:sz w:val="32"/>
          <w:szCs w:val="32"/>
        </w:rPr>
        <w:t>执行情况和项目绩效情况，给出总得分100分，得出综合评价结论和项目综合绩效评价等级为优秀。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ind w:firstLine="640" w:firstLineChars="200"/>
        <w:rPr>
          <w:rFonts w:hint="eastAsia" w:ascii="楷体_GB2312" w:hAnsi="楷体_GB2312" w:eastAsia="楷体_GB2312"/>
          <w:sz w:val="32"/>
          <w:szCs w:val="32"/>
          <w:lang w:eastAsia="zh-CN"/>
        </w:rPr>
      </w:pPr>
      <w:r>
        <w:rPr>
          <w:rFonts w:hint="eastAsia" w:ascii="楷体_GB2312" w:hAnsi="楷体_GB2312" w:eastAsia="楷体_GB2312"/>
          <w:sz w:val="32"/>
          <w:szCs w:val="32"/>
          <w:lang w:eastAsia="zh-CN"/>
        </w:rPr>
        <w:t>无</w:t>
      </w:r>
    </w:p>
    <w:p>
      <w:pPr>
        <w:numPr>
          <w:ilvl w:val="0"/>
          <w:numId w:val="4"/>
        </w:numPr>
        <w:ind w:left="480" w:leftChars="0" w:firstLine="0" w:firstLineChars="0"/>
        <w:rPr>
          <w:rFonts w:hint="eastAsia" w:ascii="楷体_GB2312" w:hAnsi="楷体_GB2312" w:eastAsia="楷体_GB2312"/>
          <w:sz w:val="32"/>
          <w:szCs w:val="32"/>
        </w:rPr>
      </w:pPr>
      <w:r>
        <w:rPr>
          <w:rFonts w:hint="eastAsia" w:ascii="楷体_GB2312" w:hAnsi="楷体_GB2312" w:eastAsia="楷体_GB2312"/>
          <w:sz w:val="32"/>
          <w:szCs w:val="32"/>
        </w:rPr>
        <w:t>针对问题提出具体的改进措施或建议</w:t>
      </w:r>
    </w:p>
    <w:p>
      <w:pPr>
        <w:numPr>
          <w:ilvl w:val="0"/>
          <w:numId w:val="0"/>
        </w:numPr>
        <w:ind w:left="480" w:leftChars="0"/>
        <w:rPr>
          <w:rFonts w:hint="eastAsia" w:ascii="楷体_GB2312" w:hAnsi="楷体_GB2312" w:eastAsia="楷体_GB2312"/>
          <w:sz w:val="32"/>
          <w:szCs w:val="32"/>
          <w:lang w:eastAsia="zh-CN"/>
        </w:rPr>
      </w:pPr>
      <w:r>
        <w:rPr>
          <w:rFonts w:hint="eastAsia" w:ascii="楷体_GB2312" w:hAnsi="楷体_GB2312" w:eastAsia="楷体_GB2312"/>
          <w:sz w:val="32"/>
          <w:szCs w:val="32"/>
          <w:lang w:eastAsia="zh-CN"/>
        </w:rPr>
        <w:t>无</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90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0"/>
        <w:gridCol w:w="1700"/>
        <w:gridCol w:w="2840"/>
        <w:gridCol w:w="1804"/>
        <w:gridCol w:w="1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870" w:type="dxa"/>
            <w:vAlign w:val="center"/>
          </w:tcPr>
          <w:p>
            <w:pPr>
              <w:jc w:val="center"/>
              <w:rPr>
                <w:rFonts w:hint="eastAsia" w:eastAsia="宋体"/>
                <w:vertAlign w:val="baseline"/>
                <w:lang w:eastAsia="zh-CN"/>
              </w:rPr>
            </w:pPr>
            <w:r>
              <w:rPr>
                <w:rFonts w:hint="eastAsia"/>
                <w:vertAlign w:val="baseline"/>
                <w:lang w:eastAsia="zh-CN"/>
              </w:rPr>
              <w:t>序号</w:t>
            </w:r>
          </w:p>
        </w:tc>
        <w:tc>
          <w:tcPr>
            <w:tcW w:w="1700" w:type="dxa"/>
            <w:vAlign w:val="center"/>
          </w:tcPr>
          <w:p>
            <w:pPr>
              <w:jc w:val="center"/>
              <w:rPr>
                <w:rFonts w:hint="eastAsia" w:eastAsia="宋体"/>
                <w:vertAlign w:val="baseline"/>
                <w:lang w:eastAsia="zh-CN"/>
              </w:rPr>
            </w:pPr>
            <w:r>
              <w:rPr>
                <w:rFonts w:hint="eastAsia"/>
                <w:vertAlign w:val="baseline"/>
                <w:lang w:eastAsia="zh-CN"/>
              </w:rPr>
              <w:t>姓名</w:t>
            </w:r>
          </w:p>
        </w:tc>
        <w:tc>
          <w:tcPr>
            <w:tcW w:w="2840" w:type="dxa"/>
            <w:vAlign w:val="center"/>
          </w:tcPr>
          <w:p>
            <w:pPr>
              <w:jc w:val="center"/>
              <w:rPr>
                <w:rFonts w:hint="eastAsia" w:eastAsia="宋体"/>
                <w:vertAlign w:val="baseline"/>
                <w:lang w:eastAsia="zh-CN"/>
              </w:rPr>
            </w:pPr>
            <w:r>
              <w:rPr>
                <w:rFonts w:hint="eastAsia"/>
                <w:vertAlign w:val="baseline"/>
                <w:lang w:eastAsia="zh-CN"/>
              </w:rPr>
              <w:t>工作单位</w:t>
            </w:r>
          </w:p>
        </w:tc>
        <w:tc>
          <w:tcPr>
            <w:tcW w:w="1804" w:type="dxa"/>
            <w:vAlign w:val="center"/>
          </w:tcPr>
          <w:p>
            <w:pPr>
              <w:jc w:val="center"/>
              <w:rPr>
                <w:rFonts w:hint="eastAsia" w:eastAsia="宋体"/>
                <w:vertAlign w:val="baseline"/>
                <w:lang w:eastAsia="zh-CN"/>
              </w:rPr>
            </w:pPr>
            <w:r>
              <w:rPr>
                <w:rFonts w:hint="eastAsia"/>
                <w:vertAlign w:val="baseline"/>
                <w:lang w:eastAsia="zh-CN"/>
              </w:rPr>
              <w:t>职务</w:t>
            </w:r>
          </w:p>
        </w:tc>
        <w:tc>
          <w:tcPr>
            <w:tcW w:w="1804" w:type="dxa"/>
            <w:vAlign w:val="center"/>
          </w:tcPr>
          <w:p>
            <w:pPr>
              <w:jc w:val="center"/>
              <w:rPr>
                <w:rFonts w:hint="eastAsia"/>
                <w:vertAlign w:val="baseline"/>
                <w:lang w:eastAsia="zh-CN"/>
              </w:rPr>
            </w:pPr>
            <w:r>
              <w:rPr>
                <w:rFonts w:hint="eastAsia"/>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870" w:type="dxa"/>
            <w:vAlign w:val="center"/>
          </w:tcPr>
          <w:p>
            <w:pPr>
              <w:jc w:val="center"/>
              <w:rPr>
                <w:rFonts w:hint="eastAsia" w:eastAsia="宋体"/>
                <w:vertAlign w:val="baseline"/>
                <w:lang w:val="en-US" w:eastAsia="zh-CN"/>
              </w:rPr>
            </w:pPr>
            <w:r>
              <w:rPr>
                <w:rFonts w:hint="eastAsia"/>
                <w:vertAlign w:val="baseline"/>
                <w:lang w:val="en-US" w:eastAsia="zh-CN"/>
              </w:rPr>
              <w:t>1</w:t>
            </w:r>
          </w:p>
        </w:tc>
        <w:tc>
          <w:tcPr>
            <w:tcW w:w="1700" w:type="dxa"/>
            <w:vAlign w:val="center"/>
          </w:tcPr>
          <w:p>
            <w:pPr>
              <w:jc w:val="center"/>
              <w:rPr>
                <w:rFonts w:hint="eastAsia" w:eastAsia="宋体"/>
                <w:vertAlign w:val="baseline"/>
                <w:lang w:eastAsia="zh-CN"/>
              </w:rPr>
            </w:pPr>
            <w:r>
              <w:rPr>
                <w:rFonts w:hint="eastAsia"/>
                <w:vertAlign w:val="baseline"/>
                <w:lang w:eastAsia="zh-CN"/>
              </w:rPr>
              <w:t>李平振</w:t>
            </w:r>
          </w:p>
        </w:tc>
        <w:tc>
          <w:tcPr>
            <w:tcW w:w="2840" w:type="dxa"/>
            <w:vAlign w:val="center"/>
          </w:tcPr>
          <w:p>
            <w:pPr>
              <w:jc w:val="center"/>
              <w:rPr>
                <w:rFonts w:hint="eastAsia" w:eastAsia="宋体"/>
                <w:vertAlign w:val="baseline"/>
                <w:lang w:eastAsia="zh-CN"/>
              </w:rPr>
            </w:pPr>
            <w:r>
              <w:rPr>
                <w:rFonts w:hint="eastAsia"/>
                <w:vertAlign w:val="baseline"/>
                <w:lang w:eastAsia="zh-CN"/>
              </w:rPr>
              <w:t>区行政审批局</w:t>
            </w:r>
          </w:p>
        </w:tc>
        <w:tc>
          <w:tcPr>
            <w:tcW w:w="1804" w:type="dxa"/>
            <w:vAlign w:val="center"/>
          </w:tcPr>
          <w:p>
            <w:pPr>
              <w:jc w:val="center"/>
              <w:rPr>
                <w:rFonts w:hint="eastAsia" w:eastAsia="宋体"/>
                <w:vertAlign w:val="baseline"/>
                <w:lang w:eastAsia="zh-CN"/>
              </w:rPr>
            </w:pPr>
            <w:r>
              <w:rPr>
                <w:rFonts w:hint="eastAsia"/>
                <w:vertAlign w:val="baseline"/>
                <w:lang w:eastAsia="zh-CN"/>
              </w:rPr>
              <w:t>副局长</w:t>
            </w:r>
          </w:p>
        </w:tc>
        <w:tc>
          <w:tcPr>
            <w:tcW w:w="1804" w:type="dxa"/>
            <w:vAlign w:val="center"/>
          </w:tcPr>
          <w:p>
            <w:pPr>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870" w:type="dxa"/>
            <w:vAlign w:val="center"/>
          </w:tcPr>
          <w:p>
            <w:pPr>
              <w:jc w:val="center"/>
              <w:rPr>
                <w:rFonts w:hint="default"/>
                <w:vertAlign w:val="baseline"/>
                <w:lang w:val="en-US" w:eastAsia="zh-CN"/>
              </w:rPr>
            </w:pPr>
            <w:r>
              <w:rPr>
                <w:rFonts w:hint="eastAsia"/>
                <w:vertAlign w:val="baseline"/>
                <w:lang w:val="en-US" w:eastAsia="zh-CN"/>
              </w:rPr>
              <w:t>2</w:t>
            </w:r>
          </w:p>
        </w:tc>
        <w:tc>
          <w:tcPr>
            <w:tcW w:w="1700" w:type="dxa"/>
            <w:vAlign w:val="center"/>
          </w:tcPr>
          <w:p>
            <w:pPr>
              <w:jc w:val="center"/>
              <w:rPr>
                <w:rFonts w:hint="eastAsia" w:eastAsia="宋体"/>
                <w:vertAlign w:val="baseline"/>
                <w:lang w:eastAsia="zh-CN"/>
              </w:rPr>
            </w:pPr>
            <w:r>
              <w:rPr>
                <w:rFonts w:hint="eastAsia"/>
                <w:vertAlign w:val="baseline"/>
                <w:lang w:eastAsia="zh-CN"/>
              </w:rPr>
              <w:t>王晋峰</w:t>
            </w:r>
          </w:p>
        </w:tc>
        <w:tc>
          <w:tcPr>
            <w:tcW w:w="2840" w:type="dxa"/>
            <w:vAlign w:val="center"/>
          </w:tcPr>
          <w:p>
            <w:pPr>
              <w:jc w:val="center"/>
              <w:rPr>
                <w:vertAlign w:val="baseline"/>
              </w:rPr>
            </w:pPr>
            <w:r>
              <w:rPr>
                <w:rFonts w:hint="eastAsia"/>
                <w:vertAlign w:val="baseline"/>
                <w:lang w:eastAsia="zh-CN"/>
              </w:rPr>
              <w:t>区行政审批局</w:t>
            </w:r>
          </w:p>
        </w:tc>
        <w:tc>
          <w:tcPr>
            <w:tcW w:w="1804" w:type="dxa"/>
            <w:vAlign w:val="center"/>
          </w:tcPr>
          <w:p>
            <w:pPr>
              <w:jc w:val="center"/>
              <w:rPr>
                <w:rFonts w:hint="eastAsia" w:eastAsia="宋体"/>
                <w:vertAlign w:val="baseline"/>
                <w:lang w:eastAsia="zh-CN"/>
              </w:rPr>
            </w:pPr>
            <w:r>
              <w:rPr>
                <w:rFonts w:hint="eastAsia"/>
                <w:vertAlign w:val="baseline"/>
                <w:lang w:eastAsia="zh-CN"/>
              </w:rPr>
              <w:t>办公室主任</w:t>
            </w:r>
          </w:p>
        </w:tc>
        <w:tc>
          <w:tcPr>
            <w:tcW w:w="1804" w:type="dxa"/>
            <w:vAlign w:val="center"/>
          </w:tcPr>
          <w:p>
            <w:pPr>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870" w:type="dxa"/>
            <w:vAlign w:val="center"/>
          </w:tcPr>
          <w:p>
            <w:pPr>
              <w:jc w:val="center"/>
              <w:rPr>
                <w:rFonts w:hint="eastAsia" w:eastAsia="宋体"/>
                <w:vertAlign w:val="baseline"/>
                <w:lang w:val="en-US" w:eastAsia="zh-CN"/>
              </w:rPr>
            </w:pPr>
            <w:r>
              <w:rPr>
                <w:rFonts w:hint="eastAsia"/>
                <w:vertAlign w:val="baseline"/>
                <w:lang w:val="en-US" w:eastAsia="zh-CN"/>
              </w:rPr>
              <w:t>3</w:t>
            </w:r>
          </w:p>
        </w:tc>
        <w:tc>
          <w:tcPr>
            <w:tcW w:w="1700" w:type="dxa"/>
            <w:vAlign w:val="center"/>
          </w:tcPr>
          <w:p>
            <w:pPr>
              <w:jc w:val="center"/>
              <w:rPr>
                <w:rFonts w:hint="eastAsia" w:eastAsia="宋体"/>
                <w:vertAlign w:val="baseline"/>
                <w:lang w:eastAsia="zh-CN"/>
              </w:rPr>
            </w:pPr>
            <w:r>
              <w:rPr>
                <w:rFonts w:hint="eastAsia"/>
                <w:vertAlign w:val="baseline"/>
                <w:lang w:eastAsia="zh-CN"/>
              </w:rPr>
              <w:t>郎林伟</w:t>
            </w:r>
          </w:p>
        </w:tc>
        <w:tc>
          <w:tcPr>
            <w:tcW w:w="2840" w:type="dxa"/>
            <w:vAlign w:val="center"/>
          </w:tcPr>
          <w:p>
            <w:pPr>
              <w:jc w:val="center"/>
              <w:rPr>
                <w:rFonts w:hint="eastAsia" w:eastAsia="宋体"/>
                <w:vertAlign w:val="baseline"/>
                <w:lang w:eastAsia="zh-CN"/>
              </w:rPr>
            </w:pPr>
            <w:r>
              <w:rPr>
                <w:rFonts w:hint="eastAsia"/>
                <w:vertAlign w:val="baseline"/>
                <w:lang w:eastAsia="zh-CN"/>
              </w:rPr>
              <w:t>区行政审批局</w:t>
            </w:r>
          </w:p>
        </w:tc>
        <w:tc>
          <w:tcPr>
            <w:tcW w:w="1804" w:type="dxa"/>
            <w:vAlign w:val="center"/>
          </w:tcPr>
          <w:p>
            <w:pPr>
              <w:jc w:val="center"/>
              <w:rPr>
                <w:vertAlign w:val="baseline"/>
              </w:rPr>
            </w:pPr>
            <w:r>
              <w:rPr>
                <w:rFonts w:hint="eastAsia"/>
                <w:vertAlign w:val="baseline"/>
                <w:lang w:eastAsia="zh-CN"/>
              </w:rPr>
              <w:t>会计</w:t>
            </w:r>
          </w:p>
        </w:tc>
        <w:tc>
          <w:tcPr>
            <w:tcW w:w="1804" w:type="dxa"/>
            <w:vAlign w:val="center"/>
          </w:tcPr>
          <w:p>
            <w:pPr>
              <w:jc w:val="center"/>
              <w:rPr>
                <w:rFonts w:hint="eastAsia"/>
                <w:vertAlign w:val="baseline"/>
                <w:lang w:eastAsia="zh-CN"/>
              </w:rPr>
            </w:pP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D3474B"/>
    <w:multiLevelType w:val="singleLevel"/>
    <w:tmpl w:val="96D3474B"/>
    <w:lvl w:ilvl="0" w:tentative="0">
      <w:start w:val="3"/>
      <w:numFmt w:val="chineseCounting"/>
      <w:suff w:val="nothing"/>
      <w:lvlText w:val="（%1）"/>
      <w:lvlJc w:val="left"/>
      <w:rPr>
        <w:rFonts w:hint="eastAsia"/>
      </w:rPr>
    </w:lvl>
  </w:abstractNum>
  <w:abstractNum w:abstractNumId="1">
    <w:nsid w:val="0EE1D552"/>
    <w:multiLevelType w:val="singleLevel"/>
    <w:tmpl w:val="0EE1D552"/>
    <w:lvl w:ilvl="0" w:tentative="0">
      <w:start w:val="2"/>
      <w:numFmt w:val="decimal"/>
      <w:suff w:val="nothing"/>
      <w:lvlText w:val="%1、"/>
      <w:lvlJc w:val="left"/>
    </w:lvl>
  </w:abstractNum>
  <w:abstractNum w:abstractNumId="2">
    <w:nsid w:val="130D413C"/>
    <w:multiLevelType w:val="singleLevel"/>
    <w:tmpl w:val="130D413C"/>
    <w:lvl w:ilvl="0" w:tentative="0">
      <w:start w:val="2"/>
      <w:numFmt w:val="chineseCounting"/>
      <w:suff w:val="nothing"/>
      <w:lvlText w:val="（%1）"/>
      <w:lvlJc w:val="left"/>
      <w:pPr>
        <w:ind w:left="480" w:leftChars="0" w:firstLine="0" w:firstLineChars="0"/>
      </w:pPr>
      <w:rPr>
        <w:rFonts w:hint="eastAsia"/>
      </w:rPr>
    </w:lvl>
  </w:abstractNum>
  <w:abstractNum w:abstractNumId="3">
    <w:nsid w:val="3505A71F"/>
    <w:multiLevelType w:val="singleLevel"/>
    <w:tmpl w:val="3505A71F"/>
    <w:lvl w:ilvl="0" w:tentative="0">
      <w:start w:val="2"/>
      <w:numFmt w:val="decimal"/>
      <w:suff w:val="nothing"/>
      <w:lvlText w:val="%1、"/>
      <w:lvlJc w:val="left"/>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ADE46A2"/>
    <w:rsid w:val="20397D36"/>
    <w:rsid w:val="43524871"/>
    <w:rsid w:val="52D608E4"/>
    <w:rsid w:val="56330960"/>
    <w:rsid w:val="6AE824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2</TotalTime>
  <ScaleCrop>false</ScaleCrop>
  <LinksUpToDate>false</LinksUpToDate>
  <CharactersWithSpaces>822</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dcterms:modified xsi:type="dcterms:W3CDTF">2020-05-25T09:23:37Z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