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rPr>
          <w:rFonts w:ascii="Times New Roman" w:hAnsi="Times New Roman" w:eastAsia="黑体" w:cs="Times New Roman"/>
          <w:b/>
          <w:sz w:val="52"/>
          <w:szCs w:val="52"/>
        </w:rPr>
      </w:pPr>
      <w:bookmarkStart w:id="0" w:name="_Toc423934905"/>
    </w:p>
    <w:p>
      <w:pPr>
        <w:ind w:firstLine="0" w:firstLineChars="0"/>
        <w:rPr>
          <w:rFonts w:ascii="Times New Roman" w:hAnsi="Times New Roman" w:eastAsia="黑体" w:cs="Times New Roman"/>
          <w:b/>
          <w:sz w:val="52"/>
          <w:szCs w:val="52"/>
        </w:rPr>
      </w:pPr>
    </w:p>
    <w:p>
      <w:pPr>
        <w:ind w:firstLine="0" w:firstLineChars="0"/>
        <w:rPr>
          <w:rFonts w:ascii="Times New Roman" w:hAnsi="Times New Roman" w:eastAsia="黑体" w:cs="Times New Roman"/>
          <w:b/>
          <w:sz w:val="52"/>
          <w:szCs w:val="52"/>
        </w:rPr>
      </w:pPr>
      <w:r>
        <w:rPr>
          <w:rFonts w:ascii="Times New Roman" w:hAnsi="黑体" w:eastAsia="黑体" w:cs="Times New Roman"/>
          <w:b/>
          <w:sz w:val="52"/>
          <w:szCs w:val="52"/>
        </w:rPr>
        <w:t>《藁城区土地利用总体规划（</w:t>
      </w:r>
      <w:r>
        <w:rPr>
          <w:rFonts w:ascii="Times New Roman" w:hAnsi="Times New Roman" w:eastAsia="黑体" w:cs="Times New Roman"/>
          <w:b/>
          <w:sz w:val="52"/>
          <w:szCs w:val="52"/>
        </w:rPr>
        <w:t>2010—2020</w:t>
      </w:r>
      <w:r>
        <w:rPr>
          <w:rFonts w:ascii="Times New Roman" w:hAnsi="黑体" w:eastAsia="黑体" w:cs="Times New Roman"/>
          <w:b/>
          <w:sz w:val="52"/>
          <w:szCs w:val="52"/>
        </w:rPr>
        <w:t>年）》</w:t>
      </w:r>
      <w:r>
        <w:rPr>
          <w:rFonts w:hint="eastAsia" w:ascii="Times New Roman" w:hAnsi="黑体" w:eastAsia="黑体" w:cs="Times New Roman"/>
          <w:b/>
          <w:sz w:val="52"/>
          <w:szCs w:val="52"/>
        </w:rPr>
        <w:t>中期</w:t>
      </w:r>
      <w:r>
        <w:rPr>
          <w:rFonts w:ascii="Times New Roman" w:hAnsi="黑体" w:eastAsia="黑体" w:cs="Times New Roman"/>
          <w:b/>
          <w:sz w:val="52"/>
          <w:szCs w:val="52"/>
        </w:rPr>
        <w:t>评估报告</w:t>
      </w:r>
      <w:bookmarkEnd w:id="0"/>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ind w:firstLine="1044"/>
        <w:jc w:val="center"/>
        <w:rPr>
          <w:rFonts w:ascii="Times New Roman" w:hAnsi="Times New Roman" w:eastAsia="黑体" w:cs="Times New Roman"/>
          <w:b/>
          <w:bCs/>
          <w:sz w:val="52"/>
          <w:szCs w:val="52"/>
        </w:rPr>
      </w:pPr>
    </w:p>
    <w:p>
      <w:pPr>
        <w:pStyle w:val="24"/>
        <w:ind w:firstLine="723"/>
        <w:rPr>
          <w:rFonts w:ascii="Times New Roman" w:hAnsi="Times New Roman"/>
          <w:sz w:val="36"/>
          <w:szCs w:val="36"/>
        </w:rPr>
      </w:pPr>
      <w:r>
        <w:rPr>
          <w:rFonts w:ascii="Times New Roman" w:hAnsi="Times New Roman"/>
          <w:sz w:val="36"/>
          <w:szCs w:val="36"/>
        </w:rPr>
        <w:t>藁城区人民政府</w:t>
      </w:r>
    </w:p>
    <w:p>
      <w:pPr>
        <w:pStyle w:val="24"/>
        <w:ind w:firstLine="723"/>
        <w:rPr>
          <w:rFonts w:ascii="Times New Roman" w:hAnsi="Times New Roman"/>
          <w:sz w:val="36"/>
          <w:szCs w:val="36"/>
        </w:rPr>
      </w:pPr>
      <w:r>
        <w:rPr>
          <w:rFonts w:ascii="Times New Roman" w:hAnsi="Times New Roman"/>
          <w:sz w:val="36"/>
          <w:szCs w:val="36"/>
        </w:rPr>
        <w:t>二〇一五年</w:t>
      </w:r>
      <w:r>
        <w:rPr>
          <w:rFonts w:hint="eastAsia" w:ascii="Times New Roman" w:hAnsi="Times New Roman"/>
          <w:sz w:val="36"/>
          <w:szCs w:val="36"/>
        </w:rPr>
        <w:t>九</w:t>
      </w:r>
      <w:r>
        <w:rPr>
          <w:rFonts w:ascii="Times New Roman" w:hAnsi="Times New Roman"/>
          <w:sz w:val="36"/>
          <w:szCs w:val="36"/>
        </w:rPr>
        <w:t>月</w:t>
      </w:r>
    </w:p>
    <w:p>
      <w:pPr>
        <w:ind w:firstLine="1044"/>
        <w:jc w:val="center"/>
        <w:rPr>
          <w:rFonts w:ascii="Times New Roman" w:hAnsi="Times New Roman" w:eastAsia="黑体" w:cs="Times New Roman"/>
          <w:b/>
          <w:bCs/>
          <w:sz w:val="52"/>
          <w:szCs w:val="52"/>
        </w:rPr>
      </w:pPr>
    </w:p>
    <w:p>
      <w:pPr>
        <w:ind w:firstLine="198" w:firstLineChars="38"/>
        <w:rPr>
          <w:rFonts w:ascii="Times New Roman" w:hAnsi="Times New Roman" w:eastAsia="黑体" w:cs="Times New Roman"/>
          <w:b/>
          <w:bCs/>
          <w:sz w:val="52"/>
          <w:szCs w:val="52"/>
        </w:rPr>
        <w:sectPr>
          <w:footerReference r:id="rId7" w:type="first"/>
          <w:headerReference r:id="rId3" w:type="default"/>
          <w:footerReference r:id="rId5" w:type="default"/>
          <w:headerReference r:id="rId4" w:type="even"/>
          <w:footerReference r:id="rId6" w:type="even"/>
          <w:type w:val="continuous"/>
          <w:pgSz w:w="11906" w:h="16838"/>
          <w:pgMar w:top="1440" w:right="1701" w:bottom="1440" w:left="1701" w:header="851" w:footer="992" w:gutter="0"/>
          <w:pgNumType w:start="1"/>
          <w:cols w:space="425" w:num="1"/>
          <w:titlePg/>
          <w:docGrid w:type="lines" w:linePitch="381" w:charSpace="0"/>
        </w:sectPr>
      </w:pPr>
    </w:p>
    <w:p>
      <w:pPr>
        <w:widowControl/>
        <w:spacing w:line="240" w:lineRule="auto"/>
        <w:ind w:firstLine="3640" w:firstLineChars="1300"/>
        <w:jc w:val="both"/>
        <w:rPr>
          <w:rFonts w:ascii="Times New Roman" w:hAnsi="Times New Roman" w:cs="Times New Roman"/>
          <w:kern w:val="0"/>
        </w:rPr>
      </w:pPr>
      <w:bookmarkStart w:id="1" w:name="_Toc423945512"/>
      <w:r>
        <w:rPr>
          <w:rFonts w:ascii="Times New Roman" w:hAnsi="Times New Roman" w:cs="Times New Roman"/>
          <w:kern w:val="0"/>
        </w:rPr>
        <w:t>前 言</w:t>
      </w:r>
      <w:bookmarkEnd w:id="1"/>
    </w:p>
    <w:p>
      <w:pPr>
        <w:ind w:firstLine="560"/>
        <w:rPr>
          <w:rFonts w:ascii="Times New Roman" w:hAnsi="Times New Roman" w:cs="Times New Roman"/>
          <w:szCs w:val="28"/>
        </w:rPr>
      </w:pPr>
      <w:r>
        <w:rPr>
          <w:rFonts w:ascii="Times New Roman" w:hAnsi="Times New Roman" w:cs="Times New Roman"/>
          <w:szCs w:val="28"/>
        </w:rPr>
        <w:t>土地利用总体规划评估与修改工作以科学发展观为统领，围绕保护资源和保障发展目标，坚持实行最严格的耕地保护制度和最严格的节约用地制度，强化土地用途管制，促进节约集约用地，有效参与宏观调控，提高土地</w:t>
      </w:r>
      <w:r>
        <w:rPr>
          <w:rFonts w:hint="eastAsia" w:ascii="Times New Roman" w:hAnsi="Times New Roman" w:cs="Times New Roman"/>
          <w:szCs w:val="28"/>
        </w:rPr>
        <w:t>利用总体</w:t>
      </w:r>
      <w:r>
        <w:rPr>
          <w:rFonts w:ascii="Times New Roman" w:hAnsi="Times New Roman" w:cs="Times New Roman"/>
          <w:szCs w:val="28"/>
        </w:rPr>
        <w:t>规划的科学性和权威性，使土地利用总体规划能够应对经济社会发展的客观要求，促进经济社会全面协调可持续发展。</w:t>
      </w:r>
    </w:p>
    <w:p>
      <w:pPr>
        <w:ind w:firstLine="560"/>
        <w:rPr>
          <w:rFonts w:ascii="Times New Roman" w:hAnsi="Times New Roman" w:cs="Times New Roman"/>
        </w:rPr>
      </w:pPr>
      <w:r>
        <w:rPr>
          <w:rFonts w:ascii="Times New Roman" w:hAnsi="Times New Roman" w:cs="Times New Roman"/>
        </w:rPr>
        <w:t>《藁城区土地利用总体规划（2010-2020年）》（下称《规划》）于2011年11月经河北省人民政府批准实施（冀政函〔2011〕192号）。《规划》经批准实施以来，对加强全区土地宏观管理和实施土地用途管制、严格保护耕地特别是基本农田、保障重点建设项目和生态环境用地、促进土地资源节约集约利用和经济社会协调、可持续发展发挥了重要作用，并取得了显著成效。2014年9月，县级藁城市撤销，设立石家庄市藁城区，随着藁城区经济社会的快速发展，城镇建设步伐的进一步加快，使《规划》在实施中面临诸多新情况、新形势。因此有必要从全方位的角度，科学合理地对《规划》的实施情况、实施成效和出现的问题进行客观的分析评估。</w:t>
      </w:r>
    </w:p>
    <w:p>
      <w:pPr>
        <w:ind w:firstLine="560"/>
        <w:rPr>
          <w:rFonts w:ascii="Times New Roman" w:hAnsi="Times New Roman" w:cs="Times New Roman"/>
        </w:rPr>
        <w:sectPr>
          <w:footerReference r:id="rId8" w:type="default"/>
          <w:pgSz w:w="11906" w:h="16838"/>
          <w:pgMar w:top="1440" w:right="1701" w:bottom="1440" w:left="1701" w:header="851" w:footer="992" w:gutter="0"/>
          <w:pgNumType w:start="1"/>
          <w:cols w:space="425" w:num="1"/>
          <w:docGrid w:type="lines" w:linePitch="381" w:charSpace="0"/>
        </w:sectPr>
      </w:pPr>
      <w:r>
        <w:rPr>
          <w:rFonts w:ascii="Times New Roman" w:hAnsi="Times New Roman" w:cs="Times New Roman"/>
        </w:rPr>
        <w:t>为了支持本区产业建设，藁城区人民政府决定按照</w:t>
      </w:r>
      <w:r>
        <w:rPr>
          <w:rFonts w:ascii="Times New Roman" w:hAnsi="Times New Roman" w:cs="Times New Roman"/>
          <w:kern w:val="0"/>
        </w:rPr>
        <w:t>《土地利用总体规划调整完善工作方案》（国土资厅函</w:t>
      </w:r>
      <w:r>
        <w:rPr>
          <w:rFonts w:ascii="Times New Roman" w:hAnsi="Times New Roman" w:cs="Times New Roman" w:eastAsiaTheme="minorEastAsia"/>
          <w:kern w:val="0"/>
        </w:rPr>
        <w:t>[2014]123</w:t>
      </w:r>
      <w:r>
        <w:rPr>
          <w:rFonts w:ascii="Times New Roman" w:hAnsi="Times New Roman" w:cs="Times New Roman"/>
          <w:kern w:val="0"/>
        </w:rPr>
        <w:t>7号）、</w:t>
      </w:r>
      <w:r>
        <w:rPr>
          <w:rFonts w:ascii="Times New Roman" w:hAnsi="Times New Roman" w:cs="Times New Roman"/>
        </w:rPr>
        <w:t>《河北省土地利用总体规划调整完善指导意见》（冀国土资办字</w:t>
      </w:r>
      <w:r>
        <w:rPr>
          <w:rFonts w:ascii="Times New Roman" w:hAnsi="Times New Roman" w:cs="Times New Roman" w:eastAsiaTheme="minorEastAsia"/>
        </w:rPr>
        <w:t>[2015]46号</w:t>
      </w:r>
      <w:r>
        <w:rPr>
          <w:rFonts w:ascii="Times New Roman" w:hAnsi="Times New Roman" w:cs="Times New Roman"/>
        </w:rPr>
        <w:t>）文件规定，修改调整土地利用总体规划，报省政府批准后实施。根据河北省、石家庄市国土资源部门关于开展土地利用总体规划实施评估工作的统一部署，在认真调查研究的基础上，实事求是地对《藁城区土地利用总体规划（2010-2020）》实施情况进行系统的分析和评价，依据评估结论对现行规划进行局部调整修改，以促进藁城区经济社会快速发展。</w:t>
      </w:r>
      <w:bookmarkStart w:id="2" w:name="_Toc255129970"/>
      <w:bookmarkStart w:id="3" w:name="_Toc255129800"/>
    </w:p>
    <w:bookmarkEnd w:id="2"/>
    <w:bookmarkEnd w:id="3"/>
    <w:p>
      <w:pPr>
        <w:pStyle w:val="3"/>
        <w:numPr>
          <w:ilvl w:val="0"/>
          <w:numId w:val="1"/>
        </w:numPr>
        <w:ind w:left="720"/>
        <w:jc w:val="center"/>
        <w:rPr>
          <w:rFonts w:ascii="Times New Roman" w:hAnsi="Times New Roman" w:cs="Times New Roman"/>
          <w:kern w:val="0"/>
        </w:rPr>
      </w:pPr>
      <w:bookmarkStart w:id="4" w:name="_Toc423945513"/>
      <w:r>
        <w:rPr>
          <w:rFonts w:ascii="Times New Roman" w:hAnsi="Times New Roman" w:cs="Times New Roman"/>
          <w:kern w:val="0"/>
        </w:rPr>
        <w:t>土地规划评估总则</w:t>
      </w:r>
      <w:bookmarkEnd w:id="4"/>
    </w:p>
    <w:p>
      <w:pPr>
        <w:ind w:firstLine="560"/>
        <w:rPr>
          <w:rFonts w:ascii="仿宋_GB2312" w:hAnsi="Times New Roman" w:cs="Times New Roman"/>
          <w:kern w:val="0"/>
        </w:rPr>
      </w:pPr>
      <w:r>
        <w:rPr>
          <w:rFonts w:hint="eastAsia" w:ascii="仿宋_GB2312" w:hAnsi="Times New Roman" w:cs="Times New Roman"/>
        </w:rPr>
        <w:t>土地利用总体规划实施评估是指在规划实施期间，以规划目标为依据，按照有关评价方法和要求，针对规划编制、审批和实施等情形进行定期跟踪、监测，分析规划对经济、社会与环境等方面发展变化产生的影响、规划实施取得的成效以及存在的问题，评估规划的合理性与现势性，就促进规划有效实施提出评估意见和解</w:t>
      </w:r>
      <w:r>
        <w:rPr>
          <w:rFonts w:hint="eastAsia" w:ascii="仿宋_GB2312" w:hAnsi="Times New Roman" w:cs="Times New Roman"/>
          <w:kern w:val="0"/>
        </w:rPr>
        <w:t>决方案的过程。</w:t>
      </w:r>
    </w:p>
    <w:p>
      <w:pPr>
        <w:ind w:firstLine="560"/>
        <w:rPr>
          <w:rFonts w:ascii="仿宋_GB2312" w:hAnsi="Times New Roman" w:cs="Times New Roman"/>
          <w:b/>
          <w:bCs/>
          <w:sz w:val="32"/>
          <w:szCs w:val="32"/>
        </w:rPr>
      </w:pPr>
      <w:r>
        <w:rPr>
          <w:rFonts w:hint="eastAsia" w:ascii="仿宋_GB2312" w:hAnsi="Times New Roman" w:cs="Times New Roman"/>
        </w:rPr>
        <w:t>本评估严格贯彻“十分珍惜、合理利用土地和切实保护耕地”的基本国策，落实最严格的耕地保护制度和最严格的节约用地制度，通过评估规划期间各项土地利用活动、土地用途管制等规划实施情况，提出合理的评估意见及调整方案，促进藁城区经济社会和资源环境可持续发展。</w:t>
      </w:r>
    </w:p>
    <w:p>
      <w:pPr>
        <w:pStyle w:val="4"/>
        <w:spacing w:before="190" w:after="190"/>
        <w:rPr>
          <w:rFonts w:ascii="Times New Roman" w:hAnsi="Times New Roman" w:cs="Times New Roman"/>
        </w:rPr>
      </w:pPr>
      <w:bookmarkStart w:id="5" w:name="_Toc423945514"/>
      <w:r>
        <w:rPr>
          <w:rFonts w:ascii="Times New Roman" w:hAnsi="Times New Roman" w:cs="Times New Roman"/>
        </w:rPr>
        <w:t>（一）评估目的</w:t>
      </w:r>
      <w:bookmarkEnd w:id="5"/>
    </w:p>
    <w:p>
      <w:pPr>
        <w:ind w:firstLine="560"/>
        <w:rPr>
          <w:rFonts w:ascii="Times New Roman" w:hAnsi="Times New Roman" w:cs="Times New Roman"/>
        </w:rPr>
      </w:pPr>
      <w:r>
        <w:rPr>
          <w:rFonts w:ascii="Times New Roman" w:hAnsi="Times New Roman" w:cs="Times New Roman"/>
        </w:rPr>
        <w:t>土地利用规划是对一定区域未来土地利用超前性的计划和安排，是依据区域社会经济发展和土地的自然历史特性在时空上进行土地资源分配和合理组织土地利用的综合技术经济措施。规划决策绝不是固定僵化的，要求规划实施中的主客观情况一成不变是不切实际的，规划要在实施的反馈中定时有序的修正。</w:t>
      </w:r>
    </w:p>
    <w:p>
      <w:pPr>
        <w:ind w:firstLine="560"/>
        <w:rPr>
          <w:rFonts w:ascii="Times New Roman" w:hAnsi="Times New Roman" w:cs="Times New Roman"/>
          <w:szCs w:val="28"/>
        </w:rPr>
      </w:pPr>
      <w:r>
        <w:rPr>
          <w:rFonts w:ascii="Times New Roman" w:hAnsi="Times New Roman" w:cs="Times New Roman"/>
        </w:rPr>
        <w:t>结合藁城区经济社会发展背景和特色，通过对</w:t>
      </w:r>
      <w:r>
        <w:rPr>
          <w:rFonts w:ascii="Times New Roman" w:hAnsi="Times New Roman" w:cs="Times New Roman"/>
          <w:szCs w:val="28"/>
        </w:rPr>
        <w:t>《藁城区土地利用总体规划（2010—2020年）》</w:t>
      </w:r>
      <w:r>
        <w:rPr>
          <w:rFonts w:ascii="Times New Roman" w:hAnsi="Times New Roman" w:cs="Times New Roman"/>
        </w:rPr>
        <w:t>目标、布局、措施等进行评估，掌握评估期内规划目标推进情况和土地利用变化情况特点，分析规划的实施成效和存在问题，根据评估结果，优化规划实施措施，提出促进规划有效实施的对策和建议，以增强规划的合理性及现势性，提高规划的可操作性，</w:t>
      </w:r>
      <w:r>
        <w:rPr>
          <w:rFonts w:ascii="Times New Roman" w:hAnsi="Times New Roman" w:cs="Times New Roman"/>
          <w:szCs w:val="28"/>
        </w:rPr>
        <w:t>为完善土地</w:t>
      </w:r>
      <w:r>
        <w:rPr>
          <w:rFonts w:hint="eastAsia" w:ascii="Times New Roman" w:hAnsi="Times New Roman" w:cs="Times New Roman"/>
          <w:szCs w:val="28"/>
        </w:rPr>
        <w:t>利用总体</w:t>
      </w:r>
      <w:r>
        <w:rPr>
          <w:rFonts w:ascii="Times New Roman" w:hAnsi="Times New Roman" w:cs="Times New Roman"/>
          <w:szCs w:val="28"/>
        </w:rPr>
        <w:t>规划实施管理、开展土地</w:t>
      </w:r>
      <w:r>
        <w:rPr>
          <w:rFonts w:hint="eastAsia" w:ascii="Times New Roman" w:hAnsi="Times New Roman" w:cs="Times New Roman"/>
          <w:szCs w:val="28"/>
        </w:rPr>
        <w:t>利用总体</w:t>
      </w:r>
      <w:r>
        <w:rPr>
          <w:rFonts w:ascii="Times New Roman" w:hAnsi="Times New Roman" w:cs="Times New Roman"/>
          <w:szCs w:val="28"/>
        </w:rPr>
        <w:t>规划适时修改和规划修编提供科学依据。</w:t>
      </w:r>
    </w:p>
    <w:p>
      <w:pPr>
        <w:pStyle w:val="4"/>
        <w:spacing w:before="190" w:after="190"/>
        <w:rPr>
          <w:rFonts w:ascii="Times New Roman" w:hAnsi="Times New Roman" w:cs="Times New Roman"/>
        </w:rPr>
      </w:pPr>
      <w:bookmarkStart w:id="6" w:name="_Toc423945516"/>
      <w:r>
        <w:rPr>
          <w:rFonts w:ascii="Times New Roman" w:hAnsi="Times New Roman" w:cs="Times New Roman"/>
        </w:rPr>
        <w:t>（</w:t>
      </w:r>
      <w:r>
        <w:rPr>
          <w:rFonts w:hint="eastAsia" w:ascii="Times New Roman" w:hAnsi="Times New Roman" w:cs="Times New Roman"/>
          <w:lang w:eastAsia="zh-CN"/>
        </w:rPr>
        <w:t>二</w:t>
      </w:r>
      <w:r>
        <w:rPr>
          <w:rFonts w:ascii="Times New Roman" w:hAnsi="Times New Roman" w:cs="Times New Roman"/>
        </w:rPr>
        <w:t>）评估原则</w:t>
      </w:r>
      <w:bookmarkEnd w:id="6"/>
    </w:p>
    <w:p>
      <w:pPr>
        <w:ind w:firstLine="560"/>
        <w:rPr>
          <w:rFonts w:ascii="Times New Roman" w:hAnsi="Times New Roman" w:cs="Times New Roman"/>
          <w:szCs w:val="28"/>
        </w:rPr>
      </w:pPr>
      <w:r>
        <w:rPr>
          <w:rFonts w:ascii="Times New Roman" w:hAnsi="Times New Roman" w:cs="Times New Roman"/>
          <w:szCs w:val="28"/>
        </w:rPr>
        <w:t>1、客观真实原则</w:t>
      </w:r>
      <w:bookmarkStart w:id="7" w:name="_Toc316120123"/>
    </w:p>
    <w:p>
      <w:pPr>
        <w:ind w:firstLine="560"/>
        <w:rPr>
          <w:rFonts w:ascii="Times New Roman" w:hAnsi="Times New Roman" w:cs="Times New Roman"/>
          <w:szCs w:val="28"/>
        </w:rPr>
      </w:pPr>
      <w:r>
        <w:rPr>
          <w:rFonts w:ascii="Times New Roman" w:hAnsi="Times New Roman" w:cs="Times New Roman"/>
          <w:szCs w:val="28"/>
        </w:rPr>
        <w:t>评估应采用依法公布和审批的经济社会、土地利用等数据，保证评估过程和结论的客观性，如实反映规划实施情况。</w:t>
      </w:r>
    </w:p>
    <w:p>
      <w:pPr>
        <w:ind w:firstLine="560"/>
        <w:rPr>
          <w:rFonts w:ascii="Times New Roman" w:hAnsi="Times New Roman" w:cs="Times New Roman"/>
          <w:szCs w:val="28"/>
        </w:rPr>
      </w:pPr>
      <w:r>
        <w:rPr>
          <w:rFonts w:ascii="Times New Roman" w:hAnsi="Times New Roman" w:cs="Times New Roman"/>
          <w:szCs w:val="28"/>
        </w:rPr>
        <w:t>2、综合评估原则</w:t>
      </w:r>
      <w:bookmarkEnd w:id="7"/>
      <w:bookmarkStart w:id="8" w:name="_Toc316120124"/>
    </w:p>
    <w:p>
      <w:pPr>
        <w:ind w:firstLine="560"/>
        <w:rPr>
          <w:rFonts w:ascii="Times New Roman" w:hAnsi="Times New Roman" w:cs="Times New Roman"/>
          <w:szCs w:val="28"/>
        </w:rPr>
      </w:pPr>
      <w:r>
        <w:rPr>
          <w:rFonts w:ascii="Times New Roman" w:hAnsi="Times New Roman" w:cs="Times New Roman"/>
          <w:szCs w:val="28"/>
        </w:rPr>
        <w:t>规划评估应采用定性分析与定量评价相结合等方法，对各类用地变化情况、用地结构调整和空间布局情况、规划措施执行情况等进行评估，综合分析规划实施效益。</w:t>
      </w:r>
    </w:p>
    <w:p>
      <w:pPr>
        <w:ind w:firstLine="560"/>
        <w:rPr>
          <w:rFonts w:ascii="Times New Roman" w:hAnsi="Times New Roman" w:cs="Times New Roman"/>
          <w:szCs w:val="28"/>
        </w:rPr>
      </w:pPr>
      <w:r>
        <w:rPr>
          <w:rFonts w:ascii="Times New Roman" w:hAnsi="Times New Roman" w:cs="Times New Roman"/>
          <w:szCs w:val="28"/>
        </w:rPr>
        <w:t>3、统筹兼顾原则</w:t>
      </w:r>
      <w:bookmarkEnd w:id="8"/>
    </w:p>
    <w:p>
      <w:pPr>
        <w:ind w:firstLine="560"/>
        <w:rPr>
          <w:rFonts w:ascii="Times New Roman" w:hAnsi="Times New Roman" w:cs="Times New Roman"/>
          <w:szCs w:val="28"/>
        </w:rPr>
      </w:pPr>
      <w:r>
        <w:rPr>
          <w:rFonts w:ascii="Times New Roman" w:hAnsi="Times New Roman" w:cs="Times New Roman"/>
          <w:szCs w:val="28"/>
        </w:rPr>
        <w:t>评估过程中调查并充分听取城建、林业、农业等相关部门和公众的意见和建议，对评估中涉及的问题，在分析、研究、论证的基础上，统筹兼顾，提出解决办法。</w:t>
      </w:r>
    </w:p>
    <w:p>
      <w:pPr>
        <w:pStyle w:val="4"/>
        <w:spacing w:before="190" w:after="190"/>
        <w:rPr>
          <w:rFonts w:ascii="Times New Roman" w:hAnsi="Times New Roman" w:cs="Times New Roman"/>
        </w:rPr>
      </w:pPr>
      <w:bookmarkStart w:id="9" w:name="_Toc423945517"/>
      <w:r>
        <w:rPr>
          <w:rFonts w:ascii="Times New Roman" w:hAnsi="Times New Roman" w:cs="Times New Roman"/>
        </w:rPr>
        <w:t>（</w:t>
      </w:r>
      <w:r>
        <w:rPr>
          <w:rFonts w:hint="eastAsia" w:ascii="Times New Roman" w:hAnsi="Times New Roman" w:cs="Times New Roman"/>
          <w:lang w:eastAsia="zh-CN"/>
        </w:rPr>
        <w:t>三</w:t>
      </w:r>
      <w:r>
        <w:rPr>
          <w:rFonts w:ascii="Times New Roman" w:hAnsi="Times New Roman" w:cs="Times New Roman"/>
        </w:rPr>
        <w:t>）评估依据</w:t>
      </w:r>
      <w:bookmarkEnd w:id="9"/>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（1）法律法规依据</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1、《中华人民共和国土地管理法》</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2、《中华人民共和国土地管理法实施条例》</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3、《河北省实施&lt;中华人民共和国土地管理法&gt;办法》</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4、《中华人民共和国城乡规划法》</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5、《中华人民共和国环境影响评价法》</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6、《建设项目用地预审管理办法》（国土资源部2004年第27号令）</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7、《基本农田保护条例》</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8、《河北省基本农田保护条例》</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（2）政策文件</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1、《国务院关于深化改革严格土地管理的决定》(国发[2004]28号)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2、《国务院关于加强土地调控有关问题的通知》（国发[2006]31号）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3、《国务院关于促进节约集约用地的通知》（国发[2008]3号）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 w:val="30"/>
          <w:szCs w:val="30"/>
        </w:rPr>
      </w:pPr>
      <w:r>
        <w:rPr>
          <w:rFonts w:ascii="Times New Roman" w:hAnsi="Times New Roman" w:cs="Times New Roman"/>
          <w:kern w:val="0"/>
          <w:szCs w:val="28"/>
        </w:rPr>
        <w:t xml:space="preserve"> 4、《河北省土地利用总体规划实施管理办法》（冀政[2012]50</w:t>
      </w:r>
      <w:r>
        <w:rPr>
          <w:rFonts w:ascii="Times New Roman" w:hAnsi="Times New Roman" w:cs="Times New Roman"/>
          <w:kern w:val="0"/>
          <w:sz w:val="30"/>
          <w:szCs w:val="30"/>
        </w:rPr>
        <w:t>号）</w:t>
      </w:r>
      <w:r>
        <w:rPr>
          <w:rFonts w:hint="eastAsia" w:ascii="Times New Roman" w:hAnsi="Times New Roman" w:cs="Times New Roman"/>
          <w:kern w:val="0"/>
          <w:sz w:val="30"/>
          <w:szCs w:val="30"/>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5、《国土资源部关于严格土地利用总体规划实施管理的通知》(国土资发[2012]2号)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6、《河北省国土资源厅关于规范土地利用总体规划修改调整和实施管理的通知》（冀国土资办字[2014]20 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7、国土资源部《土地利用总体规划调整完善工作方案》（国土资厅函[2014]1237号）</w:t>
      </w:r>
      <w:r>
        <w:rPr>
          <w:rFonts w:hint="eastAsia" w:ascii="Times New Roman" w:hAnsi="Times New Roman" w:cs="Times New Roman"/>
          <w:kern w:val="0"/>
          <w:szCs w:val="28"/>
        </w:rPr>
        <w:t>；</w:t>
      </w:r>
    </w:p>
    <w:p>
      <w:pPr>
        <w:autoSpaceDE w:val="0"/>
        <w:autoSpaceDN w:val="0"/>
        <w:adjustRightInd w:val="0"/>
        <w:ind w:firstLine="140" w:firstLineChars="50"/>
        <w:jc w:val="left"/>
        <w:rPr>
          <w:rFonts w:ascii="Times New Roman" w:hAnsi="Times New Roman" w:cs="Times New Roman"/>
          <w:kern w:val="0"/>
          <w:szCs w:val="28"/>
        </w:rPr>
      </w:pPr>
      <w:r>
        <w:rPr>
          <w:rFonts w:hint="eastAsia" w:ascii="Times New Roman" w:hAnsi="Times New Roman" w:cs="Times New Roman"/>
          <w:kern w:val="0"/>
          <w:szCs w:val="28"/>
        </w:rPr>
        <w:t>8、</w:t>
      </w:r>
      <w:r>
        <w:rPr>
          <w:rFonts w:ascii="Times New Roman" w:hAnsi="Times New Roman" w:cs="Times New Roman"/>
          <w:kern w:val="0"/>
          <w:szCs w:val="28"/>
        </w:rPr>
        <w:t>国土资源部、农业部《关于进一步做好永久基本农田划定工作的通知》（国土资发[2014]128号）</w:t>
      </w:r>
      <w:r>
        <w:rPr>
          <w:rFonts w:hint="eastAsia" w:ascii="Times New Roman" w:hAnsi="Times New Roman" w:cs="Times New Roman"/>
          <w:kern w:val="0"/>
          <w:szCs w:val="28"/>
        </w:rPr>
        <w:t>；</w:t>
      </w:r>
    </w:p>
    <w:p>
      <w:pPr>
        <w:autoSpaceDE w:val="0"/>
        <w:autoSpaceDN w:val="0"/>
        <w:adjustRightInd w:val="0"/>
        <w:ind w:firstLine="140" w:firstLineChars="50"/>
        <w:jc w:val="left"/>
        <w:rPr>
          <w:rFonts w:ascii="Times New Roman" w:hAnsi="Times New Roman" w:cs="Times New Roman"/>
          <w:kern w:val="0"/>
          <w:szCs w:val="28"/>
        </w:rPr>
      </w:pPr>
      <w:r>
        <w:rPr>
          <w:rFonts w:hint="eastAsia" w:ascii="Times New Roman" w:hAnsi="Times New Roman" w:cs="Times New Roman"/>
          <w:kern w:val="0"/>
          <w:szCs w:val="28"/>
        </w:rPr>
        <w:t>9、</w:t>
      </w:r>
      <w:r>
        <w:rPr>
          <w:rFonts w:ascii="Times New Roman" w:hAnsi="Times New Roman" w:cs="Times New Roman"/>
          <w:kern w:val="0"/>
          <w:szCs w:val="28"/>
        </w:rPr>
        <w:t>河北省国土资源厅《印发河北省土地利用总体规划调整完善指导意见的通知》（冀国土资办字函[2015]46号）</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（3）基础资料依据</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1、《石家庄市国民经济和社会发展第十二个五年计划纲要》</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2、《</w:t>
      </w:r>
      <w:r>
        <w:rPr>
          <w:rFonts w:hint="eastAsia" w:ascii="Times New Roman" w:hAnsi="Times New Roman" w:cs="Times New Roman"/>
          <w:kern w:val="0"/>
          <w:szCs w:val="28"/>
        </w:rPr>
        <w:t>石家庄市</w:t>
      </w:r>
      <w:r>
        <w:rPr>
          <w:rFonts w:ascii="Times New Roman" w:hAnsi="Times New Roman" w:cs="Times New Roman"/>
          <w:kern w:val="0"/>
          <w:szCs w:val="28"/>
        </w:rPr>
        <w:t>藁城</w:t>
      </w:r>
      <w:r>
        <w:rPr>
          <w:rFonts w:hint="eastAsia" w:ascii="Times New Roman" w:hAnsi="Times New Roman" w:cs="Times New Roman"/>
          <w:kern w:val="0"/>
          <w:szCs w:val="28"/>
        </w:rPr>
        <w:t>区</w:t>
      </w:r>
      <w:r>
        <w:rPr>
          <w:rFonts w:ascii="Times New Roman" w:hAnsi="Times New Roman" w:cs="Times New Roman"/>
          <w:kern w:val="0"/>
          <w:szCs w:val="28"/>
        </w:rPr>
        <w:t>国民经济和社会发展第十二个五年计划纲要》</w:t>
      </w:r>
      <w:r>
        <w:rPr>
          <w:rFonts w:hint="eastAsia" w:ascii="Times New Roman" w:hAnsi="Times New Roman" w:cs="Times New Roman"/>
          <w:kern w:val="0"/>
          <w:szCs w:val="28"/>
        </w:rPr>
        <w:t>；</w:t>
      </w:r>
    </w:p>
    <w:p>
      <w:pPr>
        <w:autoSpaceDE w:val="0"/>
        <w:autoSpaceDN w:val="0"/>
        <w:adjustRightInd w:val="0"/>
        <w:ind w:firstLine="0" w:firstLineChars="0"/>
        <w:jc w:val="left"/>
        <w:rPr>
          <w:rFonts w:ascii="Times New Roman" w:hAnsi="Times New Roman" w:cs="Times New Roman"/>
          <w:kern w:val="0"/>
          <w:szCs w:val="28"/>
        </w:rPr>
      </w:pPr>
      <w:r>
        <w:rPr>
          <w:rFonts w:ascii="Times New Roman" w:hAnsi="Times New Roman" w:cs="Times New Roman"/>
          <w:kern w:val="0"/>
          <w:szCs w:val="28"/>
        </w:rPr>
        <w:t xml:space="preserve"> 3、《</w:t>
      </w:r>
      <w:r>
        <w:rPr>
          <w:rFonts w:ascii="Times New Roman" w:hAnsi="Times New Roman" w:cs="Times New Roman"/>
        </w:rPr>
        <w:t>石家庄市藁城区土地利用总体规划（2010-2020年）》文本、说明、图件、数据库成果；</w:t>
      </w:r>
    </w:p>
    <w:p>
      <w:pPr>
        <w:ind w:firstLine="140" w:firstLineChars="50"/>
        <w:rPr>
          <w:rFonts w:ascii="Times New Roman" w:hAnsi="Times New Roman" w:cs="Times New Roman"/>
          <w:kern w:val="0"/>
          <w:szCs w:val="28"/>
        </w:rPr>
      </w:pPr>
      <w:r>
        <w:rPr>
          <w:rFonts w:ascii="Times New Roman" w:hAnsi="Times New Roman" w:cs="Times New Roman"/>
          <w:kern w:val="0"/>
          <w:szCs w:val="28"/>
        </w:rPr>
        <w:t>4、《藁城</w:t>
      </w:r>
      <w:r>
        <w:rPr>
          <w:rFonts w:hint="eastAsia" w:ascii="Times New Roman" w:hAnsi="Times New Roman" w:cs="Times New Roman"/>
          <w:kern w:val="0"/>
          <w:szCs w:val="28"/>
        </w:rPr>
        <w:t>区</w:t>
      </w:r>
      <w:r>
        <w:rPr>
          <w:rFonts w:ascii="Times New Roman" w:hAnsi="Times New Roman" w:cs="Times New Roman"/>
          <w:kern w:val="0"/>
          <w:szCs w:val="28"/>
        </w:rPr>
        <w:t>土地利用现状变更调查》（2010-201</w:t>
      </w:r>
      <w:r>
        <w:rPr>
          <w:rFonts w:hint="eastAsia" w:ascii="Times New Roman" w:hAnsi="Times New Roman" w:cs="Times New Roman"/>
          <w:kern w:val="0"/>
          <w:szCs w:val="28"/>
        </w:rPr>
        <w:t>4</w:t>
      </w:r>
      <w:r>
        <w:rPr>
          <w:rFonts w:ascii="Times New Roman" w:hAnsi="Times New Roman" w:cs="Times New Roman"/>
          <w:kern w:val="0"/>
          <w:szCs w:val="28"/>
        </w:rPr>
        <w:t>年）</w:t>
      </w:r>
      <w:r>
        <w:rPr>
          <w:rFonts w:hint="eastAsia" w:ascii="Times New Roman" w:hAnsi="Times New Roman" w:cs="Times New Roman"/>
          <w:kern w:val="0"/>
          <w:szCs w:val="28"/>
        </w:rPr>
        <w:t>；</w:t>
      </w:r>
    </w:p>
    <w:p>
      <w:pPr>
        <w:ind w:firstLine="140" w:firstLineChars="50"/>
        <w:rPr>
          <w:rFonts w:ascii="Times New Roman" w:hAnsi="Times New Roman" w:cs="Times New Roman"/>
        </w:rPr>
      </w:pPr>
      <w:r>
        <w:rPr>
          <w:rFonts w:hint="eastAsia" w:ascii="Times New Roman" w:hAnsi="Times New Roman" w:cs="Times New Roman"/>
        </w:rPr>
        <w:t>5、</w:t>
      </w:r>
      <w:r>
        <w:rPr>
          <w:rFonts w:ascii="Times New Roman" w:hAnsi="Times New Roman" w:cs="Times New Roman"/>
        </w:rPr>
        <w:t>《石家庄市藁城区2014年政府工作报告》</w:t>
      </w:r>
      <w:r>
        <w:rPr>
          <w:rFonts w:hint="eastAsia" w:ascii="Times New Roman" w:hAnsi="Times New Roman" w:cs="Times New Roman"/>
        </w:rPr>
        <w:t>；</w:t>
      </w:r>
    </w:p>
    <w:p>
      <w:pPr>
        <w:autoSpaceDE w:val="0"/>
        <w:autoSpaceDN w:val="0"/>
        <w:adjustRightInd w:val="0"/>
        <w:ind w:firstLine="140" w:firstLineChars="50"/>
        <w:jc w:val="left"/>
        <w:rPr>
          <w:rFonts w:ascii="Times New Roman" w:hAnsi="Times New Roman" w:cs="Times New Roman"/>
          <w:kern w:val="0"/>
          <w:szCs w:val="28"/>
        </w:rPr>
      </w:pPr>
      <w:r>
        <w:rPr>
          <w:rFonts w:hint="eastAsia" w:ascii="Times New Roman" w:hAnsi="Times New Roman" w:cs="Times New Roman"/>
          <w:kern w:val="0"/>
          <w:szCs w:val="28"/>
        </w:rPr>
        <w:t>6、</w:t>
      </w:r>
      <w:r>
        <w:rPr>
          <w:rFonts w:ascii="Times New Roman" w:hAnsi="Times New Roman" w:cs="Times New Roman"/>
          <w:kern w:val="0"/>
          <w:szCs w:val="28"/>
        </w:rPr>
        <w:t>其他相关规划及资料。</w:t>
      </w:r>
    </w:p>
    <w:p>
      <w:pPr>
        <w:pStyle w:val="3"/>
        <w:jc w:val="center"/>
        <w:rPr>
          <w:rFonts w:ascii="Times New Roman" w:hAnsi="Times New Roman" w:cs="Times New Roman"/>
        </w:rPr>
      </w:pPr>
      <w:r>
        <w:rPr>
          <w:rFonts w:ascii="Times New Roman" w:hAnsi="Times New Roman" w:cs="Times New Roman"/>
        </w:rPr>
        <w:br w:type="page"/>
      </w:r>
      <w:bookmarkStart w:id="10" w:name="_Toc423945518"/>
      <w:r>
        <w:rPr>
          <w:rFonts w:ascii="Times New Roman" w:hAnsi="Times New Roman" w:cs="Times New Roman"/>
        </w:rPr>
        <w:t>二、土地利用现状与特点</w:t>
      </w:r>
      <w:bookmarkEnd w:id="10"/>
    </w:p>
    <w:p>
      <w:pPr>
        <w:pStyle w:val="4"/>
        <w:spacing w:before="190" w:after="190"/>
        <w:rPr>
          <w:rFonts w:ascii="Times New Roman" w:hAnsi="Times New Roman" w:cs="Times New Roman"/>
        </w:rPr>
      </w:pPr>
      <w:bookmarkStart w:id="11" w:name="_Toc423945519"/>
      <w:r>
        <w:rPr>
          <w:rFonts w:ascii="Times New Roman" w:hAnsi="Times New Roman" w:cs="Times New Roman"/>
        </w:rPr>
        <w:t>（一）土地利用现状</w:t>
      </w:r>
      <w:bookmarkEnd w:id="11"/>
    </w:p>
    <w:p>
      <w:pPr>
        <w:ind w:firstLine="560"/>
        <w:rPr>
          <w:rFonts w:ascii="Times New Roman" w:hAnsi="Times New Roman" w:cs="Times New Roman"/>
          <w:kern w:val="0"/>
        </w:rPr>
      </w:pPr>
      <w:r>
        <w:rPr>
          <w:rFonts w:hint="eastAsia" w:ascii="Times New Roman" w:hAnsi="Times New Roman" w:cs="Times New Roman"/>
          <w:kern w:val="0"/>
        </w:rPr>
        <w:t>截止到</w:t>
      </w:r>
      <w:r>
        <w:rPr>
          <w:rFonts w:ascii="Times New Roman" w:hAnsi="Times New Roman" w:cs="Times New Roman"/>
          <w:kern w:val="0"/>
        </w:rPr>
        <w:t>201</w:t>
      </w:r>
      <w:r>
        <w:rPr>
          <w:rFonts w:hint="eastAsia" w:ascii="Times New Roman" w:hAnsi="Times New Roman" w:cs="Times New Roman"/>
          <w:kern w:val="0"/>
        </w:rPr>
        <w:t>4</w:t>
      </w:r>
      <w:r>
        <w:rPr>
          <w:rFonts w:ascii="Times New Roman" w:hAnsi="Times New Roman" w:cs="Times New Roman"/>
          <w:kern w:val="0"/>
        </w:rPr>
        <w:t xml:space="preserve"> 年</w:t>
      </w:r>
      <w:r>
        <w:rPr>
          <w:rFonts w:hint="eastAsia" w:ascii="Times New Roman" w:hAnsi="Times New Roman" w:cs="Times New Roman"/>
          <w:kern w:val="0"/>
        </w:rPr>
        <w:t>底</w:t>
      </w:r>
      <w:r>
        <w:rPr>
          <w:rFonts w:ascii="Times New Roman" w:hAnsi="Times New Roman" w:cs="Times New Roman"/>
          <w:kern w:val="0"/>
        </w:rPr>
        <w:t>，藁城区农用地面积为60</w:t>
      </w:r>
      <w:r>
        <w:rPr>
          <w:rFonts w:hint="eastAsia" w:ascii="Times New Roman" w:hAnsi="Times New Roman" w:cs="Times New Roman"/>
          <w:kern w:val="0"/>
        </w:rPr>
        <w:t>305.17</w:t>
      </w:r>
      <w:r>
        <w:rPr>
          <w:rFonts w:ascii="Times New Roman" w:hAnsi="Times New Roman" w:cs="Times New Roman"/>
          <w:kern w:val="0"/>
        </w:rPr>
        <w:t>公顷，其中耕地面积为52</w:t>
      </w:r>
      <w:r>
        <w:rPr>
          <w:rFonts w:hint="eastAsia" w:ascii="Times New Roman" w:hAnsi="Times New Roman" w:cs="Times New Roman"/>
          <w:kern w:val="0"/>
        </w:rPr>
        <w:t>254.85</w:t>
      </w:r>
      <w:r>
        <w:rPr>
          <w:rFonts w:ascii="Times New Roman" w:hAnsi="Times New Roman" w:cs="Times New Roman"/>
          <w:kern w:val="0"/>
        </w:rPr>
        <w:t>公顷，占土地总面积的6</w:t>
      </w:r>
      <w:r>
        <w:rPr>
          <w:rFonts w:hint="eastAsia" w:ascii="Times New Roman" w:hAnsi="Times New Roman" w:cs="Times New Roman"/>
          <w:kern w:val="0"/>
        </w:rPr>
        <w:t>4.29</w:t>
      </w:r>
      <w:r>
        <w:rPr>
          <w:rFonts w:ascii="Times New Roman" w:hAnsi="Times New Roman" w:cs="Times New Roman"/>
          <w:kern w:val="0"/>
        </w:rPr>
        <w:t>%；园地面积为</w:t>
      </w:r>
      <w:r>
        <w:rPr>
          <w:rFonts w:hint="eastAsia" w:ascii="Times New Roman" w:hAnsi="Times New Roman" w:cs="Times New Roman"/>
          <w:kern w:val="0"/>
        </w:rPr>
        <w:t>3890.88</w:t>
      </w:r>
      <w:r>
        <w:rPr>
          <w:rFonts w:ascii="Times New Roman" w:hAnsi="Times New Roman" w:cs="Times New Roman"/>
          <w:kern w:val="0"/>
        </w:rPr>
        <w:t>公顷，占土地总面积的4.</w:t>
      </w:r>
      <w:r>
        <w:rPr>
          <w:rFonts w:hint="eastAsia" w:ascii="Times New Roman" w:hAnsi="Times New Roman" w:cs="Times New Roman"/>
          <w:kern w:val="0"/>
        </w:rPr>
        <w:t>79</w:t>
      </w:r>
      <w:r>
        <w:rPr>
          <w:rFonts w:ascii="Times New Roman" w:hAnsi="Times New Roman" w:cs="Times New Roman"/>
          <w:kern w:val="0"/>
        </w:rPr>
        <w:t>%；林地10</w:t>
      </w:r>
      <w:r>
        <w:rPr>
          <w:rFonts w:hint="eastAsia" w:ascii="Times New Roman" w:hAnsi="Times New Roman" w:cs="Times New Roman"/>
          <w:kern w:val="0"/>
        </w:rPr>
        <w:t>36.46</w:t>
      </w:r>
      <w:r>
        <w:rPr>
          <w:rFonts w:ascii="Times New Roman" w:hAnsi="Times New Roman" w:cs="Times New Roman"/>
          <w:kern w:val="0"/>
        </w:rPr>
        <w:t xml:space="preserve"> 公顷，占土地总面积的1.2</w:t>
      </w:r>
      <w:r>
        <w:rPr>
          <w:rFonts w:hint="eastAsia" w:ascii="Times New Roman" w:hAnsi="Times New Roman" w:cs="Times New Roman"/>
          <w:kern w:val="0"/>
        </w:rPr>
        <w:t>8</w:t>
      </w:r>
      <w:r>
        <w:rPr>
          <w:rFonts w:ascii="Times New Roman" w:hAnsi="Times New Roman" w:cs="Times New Roman"/>
          <w:kern w:val="0"/>
        </w:rPr>
        <w:t>%；其他农用地面积为</w:t>
      </w:r>
      <w:r>
        <w:rPr>
          <w:rFonts w:hint="eastAsia" w:ascii="Times New Roman" w:hAnsi="Times New Roman" w:cs="Times New Roman"/>
          <w:kern w:val="0"/>
        </w:rPr>
        <w:t>3122.98</w:t>
      </w:r>
      <w:r>
        <w:rPr>
          <w:rFonts w:ascii="Times New Roman" w:hAnsi="Times New Roman" w:cs="Times New Roman"/>
          <w:kern w:val="0"/>
        </w:rPr>
        <w:t>公顷，占土地总面积的3.</w:t>
      </w:r>
      <w:r>
        <w:rPr>
          <w:rFonts w:hint="eastAsia" w:ascii="Times New Roman" w:hAnsi="Times New Roman" w:cs="Times New Roman"/>
          <w:kern w:val="0"/>
        </w:rPr>
        <w:t>84</w:t>
      </w:r>
      <w:r>
        <w:rPr>
          <w:rFonts w:ascii="Times New Roman" w:hAnsi="Times New Roman" w:cs="Times New Roman"/>
          <w:kern w:val="0"/>
        </w:rPr>
        <w:t>%。</w:t>
      </w:r>
    </w:p>
    <w:p>
      <w:pPr>
        <w:ind w:firstLine="560"/>
        <w:rPr>
          <w:rFonts w:ascii="宋体" w:hAnsi="宋体" w:eastAsia="宋体" w:cs="宋体"/>
          <w:color w:val="000000"/>
          <w:kern w:val="0"/>
          <w:sz w:val="22"/>
        </w:rPr>
      </w:pPr>
      <w:r>
        <w:rPr>
          <w:rFonts w:hint="eastAsia" w:ascii="Times New Roman" w:hAnsi="Times New Roman" w:cs="Times New Roman"/>
          <w:kern w:val="0"/>
        </w:rPr>
        <w:t>截止到</w:t>
      </w:r>
      <w:r>
        <w:rPr>
          <w:rFonts w:ascii="Times New Roman" w:hAnsi="Times New Roman" w:cs="Times New Roman"/>
          <w:kern w:val="0"/>
        </w:rPr>
        <w:t>201</w:t>
      </w:r>
      <w:r>
        <w:rPr>
          <w:rFonts w:hint="eastAsia" w:ascii="Times New Roman" w:hAnsi="Times New Roman" w:cs="Times New Roman"/>
          <w:kern w:val="0"/>
        </w:rPr>
        <w:t>4</w:t>
      </w:r>
      <w:r>
        <w:rPr>
          <w:rFonts w:ascii="Times New Roman" w:hAnsi="Times New Roman" w:cs="Times New Roman"/>
          <w:kern w:val="0"/>
        </w:rPr>
        <w:t xml:space="preserve"> 年</w:t>
      </w:r>
      <w:r>
        <w:rPr>
          <w:rFonts w:hint="eastAsia" w:ascii="Times New Roman" w:hAnsi="Times New Roman" w:cs="Times New Roman"/>
          <w:kern w:val="0"/>
        </w:rPr>
        <w:t>底</w:t>
      </w:r>
      <w:r>
        <w:rPr>
          <w:rFonts w:ascii="Times New Roman" w:hAnsi="Times New Roman" w:cs="Times New Roman"/>
          <w:kern w:val="0"/>
        </w:rPr>
        <w:t>，藁城区建设用地面积为1</w:t>
      </w:r>
      <w:r>
        <w:rPr>
          <w:rFonts w:hint="eastAsia" w:ascii="Times New Roman" w:hAnsi="Times New Roman" w:cs="Times New Roman"/>
          <w:kern w:val="0"/>
        </w:rPr>
        <w:t>8161.94</w:t>
      </w:r>
      <w:r>
        <w:rPr>
          <w:rFonts w:ascii="Times New Roman" w:hAnsi="Times New Roman" w:cs="Times New Roman"/>
          <w:kern w:val="0"/>
        </w:rPr>
        <w:t>公顷，其中城乡建设用地面积为16</w:t>
      </w:r>
      <w:r>
        <w:rPr>
          <w:rFonts w:hint="eastAsia" w:ascii="Times New Roman" w:hAnsi="Times New Roman" w:cs="Times New Roman"/>
          <w:kern w:val="0"/>
        </w:rPr>
        <w:t>143.38</w:t>
      </w:r>
      <w:r>
        <w:rPr>
          <w:rFonts w:ascii="Times New Roman" w:hAnsi="Times New Roman" w:cs="Times New Roman"/>
          <w:kern w:val="0"/>
        </w:rPr>
        <w:t>公顷，交通水利建设用地</w:t>
      </w:r>
      <w:r>
        <w:rPr>
          <w:rFonts w:hint="eastAsia" w:ascii="Times New Roman" w:hAnsi="Times New Roman" w:cs="Times New Roman"/>
          <w:kern w:val="0"/>
        </w:rPr>
        <w:t>1779.24</w:t>
      </w:r>
      <w:r>
        <w:rPr>
          <w:rFonts w:ascii="Times New Roman" w:hAnsi="Times New Roman" w:cs="Times New Roman"/>
          <w:kern w:val="0"/>
        </w:rPr>
        <w:t>公顷，其他建设用地239.</w:t>
      </w:r>
      <w:r>
        <w:rPr>
          <w:rFonts w:hint="eastAsia" w:ascii="Times New Roman" w:hAnsi="Times New Roman" w:cs="Times New Roman"/>
          <w:kern w:val="0"/>
        </w:rPr>
        <w:t>32</w:t>
      </w:r>
      <w:r>
        <w:rPr>
          <w:rFonts w:ascii="Times New Roman" w:hAnsi="Times New Roman" w:cs="Times New Roman"/>
          <w:kern w:val="0"/>
        </w:rPr>
        <w:t>公顷，分别占全区土地总面积的19.</w:t>
      </w:r>
      <w:r>
        <w:rPr>
          <w:rFonts w:hint="eastAsia" w:ascii="Times New Roman" w:hAnsi="Times New Roman" w:cs="Times New Roman"/>
          <w:kern w:val="0"/>
        </w:rPr>
        <w:t>86</w:t>
      </w:r>
      <w:r>
        <w:rPr>
          <w:rFonts w:ascii="Times New Roman" w:hAnsi="Times New Roman" w:cs="Times New Roman"/>
          <w:kern w:val="0"/>
        </w:rPr>
        <w:t>%、</w:t>
      </w:r>
      <w:r>
        <w:rPr>
          <w:rFonts w:hint="eastAsia" w:ascii="Times New Roman" w:hAnsi="Times New Roman" w:cs="Times New Roman"/>
          <w:kern w:val="0"/>
        </w:rPr>
        <w:t>2.19</w:t>
      </w:r>
      <w:r>
        <w:rPr>
          <w:rFonts w:ascii="Times New Roman" w:hAnsi="Times New Roman" w:cs="Times New Roman"/>
          <w:kern w:val="0"/>
        </w:rPr>
        <w:t>%和0.29%。具体为城市用地194</w:t>
      </w:r>
      <w:r>
        <w:rPr>
          <w:rFonts w:hint="eastAsia" w:ascii="Times New Roman" w:hAnsi="Times New Roman" w:cs="Times New Roman"/>
          <w:kern w:val="0"/>
        </w:rPr>
        <w:t>5.97</w:t>
      </w:r>
      <w:r>
        <w:rPr>
          <w:rFonts w:ascii="Times New Roman" w:hAnsi="Times New Roman" w:cs="Times New Roman"/>
          <w:kern w:val="0"/>
        </w:rPr>
        <w:t>公顷，占土地总面积的2.39%；建制镇用地13</w:t>
      </w:r>
      <w:r>
        <w:rPr>
          <w:rFonts w:hint="eastAsia" w:ascii="Times New Roman" w:hAnsi="Times New Roman" w:cs="Times New Roman"/>
          <w:kern w:val="0"/>
        </w:rPr>
        <w:t>34.36</w:t>
      </w:r>
      <w:r>
        <w:rPr>
          <w:rFonts w:ascii="Times New Roman" w:hAnsi="Times New Roman" w:cs="Times New Roman"/>
          <w:kern w:val="0"/>
        </w:rPr>
        <w:t>公顷，占土地总面积的1.6</w:t>
      </w:r>
      <w:r>
        <w:rPr>
          <w:rFonts w:hint="eastAsia" w:ascii="Times New Roman" w:hAnsi="Times New Roman" w:cs="Times New Roman"/>
          <w:kern w:val="0"/>
        </w:rPr>
        <w:t>4</w:t>
      </w:r>
      <w:r>
        <w:rPr>
          <w:rFonts w:ascii="Times New Roman" w:hAnsi="Times New Roman" w:cs="Times New Roman"/>
          <w:kern w:val="0"/>
        </w:rPr>
        <w:t>%；农村居民点用地12</w:t>
      </w:r>
      <w:r>
        <w:rPr>
          <w:rFonts w:hint="eastAsia" w:ascii="Times New Roman" w:hAnsi="Times New Roman" w:cs="Times New Roman"/>
          <w:kern w:val="0"/>
        </w:rPr>
        <w:t>646.31</w:t>
      </w:r>
      <w:r>
        <w:rPr>
          <w:rFonts w:ascii="Times New Roman" w:hAnsi="Times New Roman" w:cs="Times New Roman"/>
          <w:kern w:val="0"/>
        </w:rPr>
        <w:t>公顷，占土地总面积的15.</w:t>
      </w:r>
      <w:r>
        <w:rPr>
          <w:rFonts w:hint="eastAsia" w:ascii="Times New Roman" w:hAnsi="Times New Roman" w:cs="Times New Roman"/>
          <w:kern w:val="0"/>
        </w:rPr>
        <w:t>56</w:t>
      </w:r>
      <w:r>
        <w:rPr>
          <w:rFonts w:ascii="Times New Roman" w:hAnsi="Times New Roman" w:cs="Times New Roman"/>
          <w:kern w:val="0"/>
        </w:rPr>
        <w:t>%；采矿用地21</w:t>
      </w:r>
      <w:r>
        <w:rPr>
          <w:rFonts w:hint="eastAsia" w:ascii="Times New Roman" w:hAnsi="Times New Roman" w:cs="Times New Roman"/>
          <w:kern w:val="0"/>
        </w:rPr>
        <w:t>6.74</w:t>
      </w:r>
      <w:r>
        <w:rPr>
          <w:rFonts w:ascii="Times New Roman" w:hAnsi="Times New Roman" w:cs="Times New Roman"/>
          <w:kern w:val="0"/>
        </w:rPr>
        <w:t>公顷，占土地总面积的0.27%；铁路用地161.4</w:t>
      </w:r>
      <w:r>
        <w:rPr>
          <w:rFonts w:hint="eastAsia" w:ascii="Times New Roman" w:hAnsi="Times New Roman" w:cs="Times New Roman"/>
          <w:kern w:val="0"/>
        </w:rPr>
        <w:t>1</w:t>
      </w:r>
      <w:r>
        <w:rPr>
          <w:rFonts w:ascii="Times New Roman" w:hAnsi="Times New Roman" w:cs="Times New Roman"/>
          <w:kern w:val="0"/>
        </w:rPr>
        <w:t>公顷，占土地总面积的0.20%；公路用地</w:t>
      </w:r>
      <w:r>
        <w:rPr>
          <w:rFonts w:hint="eastAsia" w:ascii="Times New Roman" w:hAnsi="Times New Roman" w:cs="Times New Roman"/>
          <w:kern w:val="0"/>
        </w:rPr>
        <w:t>1519.92</w:t>
      </w:r>
      <w:r>
        <w:rPr>
          <w:rFonts w:ascii="Times New Roman" w:hAnsi="Times New Roman" w:cs="Times New Roman"/>
          <w:kern w:val="0"/>
        </w:rPr>
        <w:t>公顷，占土地总面积的1.</w:t>
      </w:r>
      <w:r>
        <w:rPr>
          <w:rFonts w:hint="eastAsia" w:ascii="Times New Roman" w:hAnsi="Times New Roman" w:cs="Times New Roman"/>
          <w:kern w:val="0"/>
        </w:rPr>
        <w:t>87</w:t>
      </w:r>
      <w:r>
        <w:rPr>
          <w:rFonts w:ascii="Times New Roman" w:hAnsi="Times New Roman" w:cs="Times New Roman"/>
          <w:kern w:val="0"/>
        </w:rPr>
        <w:t>%；水工建筑用地</w:t>
      </w:r>
      <w:r>
        <w:rPr>
          <w:rFonts w:hint="eastAsia" w:ascii="Times New Roman" w:hAnsi="Times New Roman" w:cs="Times New Roman"/>
          <w:kern w:val="0"/>
        </w:rPr>
        <w:t>95.90</w:t>
      </w:r>
      <w:r>
        <w:rPr>
          <w:rFonts w:ascii="Times New Roman" w:hAnsi="Times New Roman" w:cs="Times New Roman"/>
          <w:kern w:val="0"/>
        </w:rPr>
        <w:t>公顷，占土地总面积的0.12%；特殊用地239.</w:t>
      </w:r>
      <w:r>
        <w:rPr>
          <w:rFonts w:hint="eastAsia" w:ascii="Times New Roman" w:hAnsi="Times New Roman" w:cs="Times New Roman"/>
          <w:kern w:val="0"/>
        </w:rPr>
        <w:t>32</w:t>
      </w:r>
      <w:r>
        <w:rPr>
          <w:rFonts w:ascii="Times New Roman" w:hAnsi="Times New Roman" w:cs="Times New Roman"/>
          <w:kern w:val="0"/>
        </w:rPr>
        <w:t>公顷，占土地总面积的0.29%。</w:t>
      </w:r>
    </w:p>
    <w:p>
      <w:pPr>
        <w:ind w:firstLine="560"/>
        <w:rPr>
          <w:rFonts w:ascii="Times New Roman" w:hAnsi="Times New Roman" w:cs="Times New Roman"/>
          <w:kern w:val="0"/>
        </w:rPr>
      </w:pPr>
      <w:r>
        <w:rPr>
          <w:rFonts w:ascii="Times New Roman" w:hAnsi="Times New Roman" w:cs="Times New Roman"/>
          <w:kern w:val="0"/>
        </w:rPr>
        <w:t>201</w:t>
      </w:r>
      <w:r>
        <w:rPr>
          <w:rFonts w:hint="eastAsia" w:ascii="Times New Roman" w:hAnsi="Times New Roman" w:cs="Times New Roman"/>
          <w:kern w:val="0"/>
        </w:rPr>
        <w:t>4</w:t>
      </w:r>
      <w:r>
        <w:rPr>
          <w:rFonts w:ascii="Times New Roman" w:hAnsi="Times New Roman" w:cs="Times New Roman"/>
          <w:kern w:val="0"/>
        </w:rPr>
        <w:t>年</w:t>
      </w:r>
      <w:r>
        <w:rPr>
          <w:rFonts w:hint="eastAsia" w:ascii="Times New Roman" w:hAnsi="Times New Roman" w:cs="Times New Roman"/>
          <w:kern w:val="0"/>
        </w:rPr>
        <w:t>底</w:t>
      </w:r>
      <w:r>
        <w:rPr>
          <w:rFonts w:ascii="Times New Roman" w:hAnsi="Times New Roman" w:cs="Times New Roman"/>
          <w:kern w:val="0"/>
        </w:rPr>
        <w:t>，藁城区其他土地面积为28</w:t>
      </w:r>
      <w:r>
        <w:rPr>
          <w:rFonts w:hint="eastAsia" w:ascii="Times New Roman" w:hAnsi="Times New Roman" w:cs="Times New Roman"/>
          <w:kern w:val="0"/>
        </w:rPr>
        <w:t>15.23</w:t>
      </w:r>
      <w:r>
        <w:rPr>
          <w:rFonts w:ascii="Times New Roman" w:hAnsi="Times New Roman" w:cs="Times New Roman"/>
          <w:kern w:val="0"/>
        </w:rPr>
        <w:t>公顷，占土地总面积的3.</w:t>
      </w:r>
      <w:r>
        <w:rPr>
          <w:rFonts w:hint="eastAsia" w:ascii="Times New Roman" w:hAnsi="Times New Roman" w:cs="Times New Roman"/>
          <w:kern w:val="0"/>
        </w:rPr>
        <w:t>46</w:t>
      </w:r>
      <w:r>
        <w:rPr>
          <w:rFonts w:ascii="Times New Roman" w:hAnsi="Times New Roman" w:cs="Times New Roman"/>
          <w:kern w:val="0"/>
        </w:rPr>
        <w:t>%。其中河流水面占地165</w:t>
      </w:r>
      <w:r>
        <w:rPr>
          <w:rFonts w:hint="eastAsia" w:ascii="Times New Roman" w:hAnsi="Times New Roman" w:cs="Times New Roman"/>
          <w:kern w:val="0"/>
        </w:rPr>
        <w:t>5.85</w:t>
      </w:r>
      <w:r>
        <w:rPr>
          <w:rFonts w:ascii="Times New Roman" w:hAnsi="Times New Roman" w:cs="Times New Roman"/>
          <w:kern w:val="0"/>
        </w:rPr>
        <w:t>公顷，占土地总面积的2.04%；内陆滩涂33.</w:t>
      </w:r>
      <w:r>
        <w:rPr>
          <w:rFonts w:hint="eastAsia" w:ascii="Times New Roman" w:hAnsi="Times New Roman" w:cs="Times New Roman"/>
          <w:kern w:val="0"/>
        </w:rPr>
        <w:t>74</w:t>
      </w:r>
      <w:r>
        <w:rPr>
          <w:rFonts w:ascii="Times New Roman" w:hAnsi="Times New Roman" w:cs="Times New Roman"/>
          <w:kern w:val="0"/>
        </w:rPr>
        <w:t>公顷，占全区土地面积的0.04%；自然保留地11</w:t>
      </w:r>
      <w:r>
        <w:rPr>
          <w:rFonts w:hint="eastAsia" w:ascii="Times New Roman" w:hAnsi="Times New Roman" w:cs="Times New Roman"/>
          <w:kern w:val="0"/>
        </w:rPr>
        <w:t>25.64</w:t>
      </w:r>
      <w:r>
        <w:rPr>
          <w:rFonts w:ascii="Times New Roman" w:hAnsi="Times New Roman" w:cs="Times New Roman"/>
          <w:kern w:val="0"/>
        </w:rPr>
        <w:t>公顷，占土地总面积的1.</w:t>
      </w:r>
      <w:r>
        <w:rPr>
          <w:rFonts w:hint="eastAsia" w:ascii="Times New Roman" w:hAnsi="Times New Roman" w:cs="Times New Roman"/>
          <w:kern w:val="0"/>
        </w:rPr>
        <w:t>38</w:t>
      </w:r>
      <w:r>
        <w:rPr>
          <w:rFonts w:ascii="Times New Roman" w:hAnsi="Times New Roman" w:cs="Times New Roman"/>
          <w:kern w:val="0"/>
        </w:rPr>
        <w:t>%。</w:t>
      </w:r>
    </w:p>
    <w:p>
      <w:pPr>
        <w:ind w:firstLine="0" w:firstLineChars="0"/>
        <w:rPr>
          <w:rFonts w:ascii="Times New Roman" w:hAnsi="Times New Roman" w:cs="Times New Roman"/>
          <w:kern w:val="0"/>
        </w:rPr>
      </w:pPr>
      <w:r>
        <w:rPr>
          <w:rFonts w:ascii="Times New Roman" w:hAnsi="Times New Roman" w:cs="Times New Roman"/>
        </w:rPr>
        <w:drawing>
          <wp:inline distT="0" distB="0" distL="0" distR="0">
            <wp:extent cx="5739765" cy="4930140"/>
            <wp:effectExtent l="0" t="0" r="51435" b="2286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ind w:firstLine="198" w:firstLineChars="71"/>
        <w:jc w:val="center"/>
        <w:rPr>
          <w:rFonts w:ascii="Times New Roman" w:hAnsi="Times New Roman" w:cs="Times New Roman"/>
          <w:kern w:val="0"/>
        </w:rPr>
      </w:pPr>
      <w:r>
        <w:rPr>
          <w:rFonts w:ascii="Times New Roman" w:hAnsi="Times New Roman" w:cs="Times New Roman"/>
          <w:kern w:val="0"/>
        </w:rPr>
        <w:t>图2-1  土地利用现状图</w:t>
      </w:r>
    </w:p>
    <w:p>
      <w:pPr>
        <w:pStyle w:val="4"/>
        <w:spacing w:before="190" w:after="190"/>
        <w:rPr>
          <w:rFonts w:ascii="Times New Roman" w:hAnsi="Times New Roman" w:cs="Times New Roman"/>
        </w:rPr>
      </w:pPr>
      <w:bookmarkStart w:id="12" w:name="_Toc423945520"/>
      <w:r>
        <w:rPr>
          <w:rFonts w:ascii="Times New Roman" w:hAnsi="Times New Roman" w:cs="Times New Roman"/>
        </w:rPr>
        <w:t>（二）土地利用特点</w:t>
      </w:r>
      <w:bookmarkEnd w:id="12"/>
    </w:p>
    <w:p>
      <w:pPr>
        <w:autoSpaceDE w:val="0"/>
        <w:autoSpaceDN w:val="0"/>
        <w:adjustRightInd w:val="0"/>
        <w:ind w:firstLine="560"/>
        <w:jc w:val="left"/>
        <w:rPr>
          <w:rFonts w:ascii="Times New Roman" w:hAnsi="Times New Roman" w:cs="Times New Roman"/>
          <w:kern w:val="0"/>
          <w:szCs w:val="28"/>
        </w:rPr>
      </w:pPr>
      <w:r>
        <w:rPr>
          <w:rFonts w:ascii="Times New Roman" w:hAnsi="Times New Roman" w:eastAsia="黑体" w:cs="Times New Roman"/>
          <w:kern w:val="0"/>
          <w:szCs w:val="28"/>
        </w:rPr>
        <w:t>1</w:t>
      </w:r>
      <w:r>
        <w:rPr>
          <w:rFonts w:ascii="Times New Roman" w:hAnsi="Times New Roman" w:cs="Times New Roman"/>
          <w:kern w:val="0"/>
          <w:szCs w:val="28"/>
        </w:rPr>
        <w:t>、农用地结构相对单一，耕地比重大</w:t>
      </w:r>
    </w:p>
    <w:p>
      <w:pPr>
        <w:autoSpaceDE w:val="0"/>
        <w:autoSpaceDN w:val="0"/>
        <w:adjustRightInd w:val="0"/>
        <w:ind w:firstLine="478" w:firstLineChars="171"/>
        <w:jc w:val="left"/>
        <w:rPr>
          <w:rFonts w:ascii="Times New Roman" w:hAnsi="Times New Roman" w:cs="Times New Roman"/>
          <w:kern w:val="0"/>
          <w:szCs w:val="28"/>
        </w:rPr>
      </w:pPr>
      <w:r>
        <w:rPr>
          <w:rFonts w:ascii="Times New Roman" w:hAnsi="Times New Roman" w:cs="Times New Roman"/>
          <w:kern w:val="0"/>
          <w:szCs w:val="28"/>
        </w:rPr>
        <w:t>全区农用地面积占土地总面积的</w:t>
      </w:r>
      <w:r>
        <w:rPr>
          <w:rFonts w:hint="eastAsia" w:ascii="Times New Roman" w:hAnsi="Times New Roman" w:cs="Times New Roman"/>
          <w:kern w:val="0"/>
          <w:szCs w:val="28"/>
        </w:rPr>
        <w:t>比重为</w:t>
      </w:r>
      <w:r>
        <w:rPr>
          <w:rFonts w:ascii="Times New Roman" w:hAnsi="Times New Roman" w:cs="Times New Roman"/>
          <w:kern w:val="0"/>
          <w:szCs w:val="28"/>
        </w:rPr>
        <w:t>74.</w:t>
      </w:r>
      <w:r>
        <w:rPr>
          <w:rFonts w:hint="eastAsia" w:ascii="Times New Roman" w:hAnsi="Times New Roman" w:cs="Times New Roman"/>
          <w:kern w:val="0"/>
          <w:szCs w:val="28"/>
        </w:rPr>
        <w:t>15</w:t>
      </w:r>
      <w:r>
        <w:rPr>
          <w:rFonts w:ascii="Times New Roman" w:hAnsi="Times New Roman" w:cs="Times New Roman"/>
          <w:kern w:val="0"/>
          <w:szCs w:val="28"/>
        </w:rPr>
        <w:t>%，为典型农业土地利用区。农用地中耕地面积占全区土地面积的比重为</w:t>
      </w:r>
      <w:r>
        <w:rPr>
          <w:rFonts w:hint="eastAsia" w:ascii="Times New Roman" w:hAnsi="Times New Roman" w:eastAsia="黑体" w:cs="Times New Roman"/>
          <w:kern w:val="0"/>
          <w:szCs w:val="28"/>
        </w:rPr>
        <w:t>64.29</w:t>
      </w:r>
      <w:r>
        <w:rPr>
          <w:rFonts w:ascii="Times New Roman" w:hAnsi="Times New Roman" w:eastAsia="黑体" w:cs="Times New Roman"/>
          <w:kern w:val="0"/>
          <w:szCs w:val="28"/>
        </w:rPr>
        <w:t>%</w:t>
      </w:r>
      <w:r>
        <w:rPr>
          <w:rFonts w:ascii="Times New Roman" w:hAnsi="Times New Roman" w:cs="Times New Roman"/>
          <w:kern w:val="0"/>
          <w:szCs w:val="28"/>
        </w:rPr>
        <w:t>，园地、林地面积占土地总面积的比重分别为</w:t>
      </w:r>
      <w:r>
        <w:rPr>
          <w:rFonts w:ascii="Times New Roman" w:hAnsi="Times New Roman" w:eastAsia="黑体" w:cs="Times New Roman"/>
          <w:kern w:val="0"/>
          <w:szCs w:val="28"/>
        </w:rPr>
        <w:t>4.</w:t>
      </w:r>
      <w:r>
        <w:rPr>
          <w:rFonts w:hint="eastAsia" w:ascii="Times New Roman" w:hAnsi="Times New Roman" w:eastAsia="黑体" w:cs="Times New Roman"/>
          <w:kern w:val="0"/>
          <w:szCs w:val="28"/>
        </w:rPr>
        <w:t>79</w:t>
      </w:r>
      <w:r>
        <w:rPr>
          <w:rFonts w:ascii="Times New Roman" w:hAnsi="Times New Roman" w:eastAsia="黑体" w:cs="Times New Roman"/>
          <w:kern w:val="0"/>
          <w:szCs w:val="28"/>
        </w:rPr>
        <w:t>%</w:t>
      </w:r>
      <w:r>
        <w:rPr>
          <w:rFonts w:ascii="Times New Roman" w:hAnsi="Times New Roman" w:cs="Times New Roman"/>
          <w:kern w:val="0"/>
          <w:szCs w:val="28"/>
        </w:rPr>
        <w:t>和</w:t>
      </w:r>
      <w:r>
        <w:rPr>
          <w:rFonts w:ascii="Times New Roman" w:hAnsi="Times New Roman" w:eastAsia="黑体" w:cs="Times New Roman"/>
          <w:kern w:val="0"/>
          <w:szCs w:val="28"/>
        </w:rPr>
        <w:t>1.2</w:t>
      </w:r>
      <w:r>
        <w:rPr>
          <w:rFonts w:hint="eastAsia" w:ascii="Times New Roman" w:hAnsi="Times New Roman" w:eastAsia="黑体" w:cs="Times New Roman"/>
          <w:kern w:val="0"/>
          <w:szCs w:val="28"/>
        </w:rPr>
        <w:t>8</w:t>
      </w:r>
      <w:r>
        <w:rPr>
          <w:rFonts w:ascii="Times New Roman" w:hAnsi="Times New Roman" w:eastAsia="黑体" w:cs="Times New Roman"/>
          <w:kern w:val="0"/>
          <w:szCs w:val="28"/>
        </w:rPr>
        <w:t>%</w:t>
      </w:r>
      <w:r>
        <w:rPr>
          <w:rFonts w:ascii="Times New Roman" w:hAnsi="Times New Roman" w:cs="Times New Roman"/>
          <w:kern w:val="0"/>
          <w:szCs w:val="28"/>
        </w:rPr>
        <w:t>。</w:t>
      </w:r>
    </w:p>
    <w:p>
      <w:pPr>
        <w:autoSpaceDE w:val="0"/>
        <w:autoSpaceDN w:val="0"/>
        <w:adjustRightInd w:val="0"/>
        <w:ind w:firstLine="560"/>
        <w:jc w:val="left"/>
        <w:rPr>
          <w:rFonts w:ascii="Times New Roman" w:hAnsi="Times New Roman" w:cs="Times New Roman"/>
          <w:kern w:val="0"/>
          <w:szCs w:val="28"/>
        </w:rPr>
      </w:pPr>
      <w:r>
        <w:rPr>
          <w:rFonts w:ascii="Times New Roman" w:hAnsi="Times New Roman" w:eastAsia="黑体" w:cs="Times New Roman"/>
          <w:kern w:val="0"/>
          <w:szCs w:val="28"/>
        </w:rPr>
        <w:t>2</w:t>
      </w:r>
      <w:r>
        <w:rPr>
          <w:rFonts w:ascii="Times New Roman" w:hAnsi="Times New Roman" w:cs="Times New Roman"/>
          <w:kern w:val="0"/>
          <w:szCs w:val="28"/>
        </w:rPr>
        <w:t>、后备土地资源开发潜力较小</w:t>
      </w:r>
    </w:p>
    <w:p>
      <w:pPr>
        <w:autoSpaceDE w:val="0"/>
        <w:autoSpaceDN w:val="0"/>
        <w:adjustRightInd w:val="0"/>
        <w:ind w:firstLine="478" w:firstLineChars="171"/>
        <w:jc w:val="left"/>
        <w:rPr>
          <w:rFonts w:ascii="Times New Roman" w:hAnsi="Times New Roman" w:cs="Times New Roman"/>
          <w:kern w:val="0"/>
          <w:szCs w:val="28"/>
        </w:rPr>
      </w:pPr>
      <w:r>
        <w:rPr>
          <w:rFonts w:ascii="Times New Roman" w:hAnsi="Times New Roman" w:cs="Times New Roman"/>
          <w:kern w:val="0"/>
          <w:szCs w:val="28"/>
        </w:rPr>
        <w:t>201</w:t>
      </w:r>
      <w:r>
        <w:rPr>
          <w:rFonts w:hint="eastAsia" w:ascii="Times New Roman" w:hAnsi="Times New Roman" w:cs="Times New Roman"/>
          <w:kern w:val="0"/>
          <w:szCs w:val="28"/>
        </w:rPr>
        <w:t>4</w:t>
      </w:r>
      <w:r>
        <w:rPr>
          <w:rFonts w:ascii="Times New Roman" w:hAnsi="Times New Roman" w:cs="Times New Roman"/>
          <w:kern w:val="0"/>
          <w:szCs w:val="28"/>
        </w:rPr>
        <w:t>年藁城区其他土地面积为28</w:t>
      </w:r>
      <w:r>
        <w:rPr>
          <w:rFonts w:hint="eastAsia" w:ascii="Times New Roman" w:hAnsi="Times New Roman" w:cs="Times New Roman"/>
          <w:kern w:val="0"/>
          <w:szCs w:val="28"/>
        </w:rPr>
        <w:t>15.23</w:t>
      </w:r>
      <w:r>
        <w:rPr>
          <w:rFonts w:ascii="Times New Roman" w:hAnsi="Times New Roman" w:cs="Times New Roman"/>
          <w:kern w:val="0"/>
          <w:szCs w:val="28"/>
        </w:rPr>
        <w:t>公顷，占土地总面积的比重小，仅为</w:t>
      </w:r>
      <w:r>
        <w:rPr>
          <w:rFonts w:ascii="Times New Roman" w:hAnsi="Times New Roman" w:eastAsia="黑体" w:cs="Times New Roman"/>
          <w:kern w:val="0"/>
          <w:szCs w:val="28"/>
        </w:rPr>
        <w:t>3.</w:t>
      </w:r>
      <w:r>
        <w:rPr>
          <w:rFonts w:hint="eastAsia" w:ascii="Times New Roman" w:hAnsi="Times New Roman" w:eastAsia="黑体" w:cs="Times New Roman"/>
          <w:kern w:val="0"/>
          <w:szCs w:val="28"/>
        </w:rPr>
        <w:t>46</w:t>
      </w:r>
      <w:r>
        <w:rPr>
          <w:rFonts w:ascii="Times New Roman" w:hAnsi="Times New Roman" w:eastAsia="黑体" w:cs="Times New Roman"/>
          <w:kern w:val="0"/>
          <w:szCs w:val="28"/>
        </w:rPr>
        <w:t>%</w:t>
      </w:r>
      <w:r>
        <w:rPr>
          <w:rFonts w:ascii="Times New Roman" w:hAnsi="Times New Roman" w:cs="Times New Roman"/>
          <w:kern w:val="0"/>
          <w:szCs w:val="28"/>
        </w:rPr>
        <w:t>，而河流水面占</w:t>
      </w:r>
      <w:r>
        <w:rPr>
          <w:rFonts w:hint="eastAsia" w:ascii="Times New Roman" w:hAnsi="Times New Roman" w:cs="Times New Roman"/>
          <w:kern w:val="0"/>
          <w:szCs w:val="28"/>
        </w:rPr>
        <w:t>的</w:t>
      </w:r>
      <w:r>
        <w:rPr>
          <w:rFonts w:ascii="Times New Roman" w:hAnsi="Times New Roman" w:cs="Times New Roman"/>
          <w:kern w:val="0"/>
          <w:szCs w:val="28"/>
        </w:rPr>
        <w:t>比重达</w:t>
      </w:r>
      <w:r>
        <w:rPr>
          <w:rFonts w:ascii="Times New Roman" w:hAnsi="Times New Roman" w:eastAsia="黑体" w:cs="Times New Roman"/>
          <w:kern w:val="0"/>
          <w:szCs w:val="28"/>
        </w:rPr>
        <w:t>2.04%</w:t>
      </w:r>
      <w:r>
        <w:rPr>
          <w:rFonts w:ascii="Times New Roman" w:hAnsi="Times New Roman" w:cs="Times New Roman"/>
          <w:kern w:val="0"/>
          <w:szCs w:val="28"/>
        </w:rPr>
        <w:t>，后备土地资源的开发潜力较小。</w:t>
      </w:r>
    </w:p>
    <w:p>
      <w:pPr>
        <w:autoSpaceDE w:val="0"/>
        <w:autoSpaceDN w:val="0"/>
        <w:adjustRightInd w:val="0"/>
        <w:ind w:firstLine="560"/>
        <w:jc w:val="left"/>
        <w:rPr>
          <w:rFonts w:ascii="Times New Roman" w:hAnsi="Times New Roman" w:cs="Times New Roman"/>
          <w:kern w:val="0"/>
          <w:szCs w:val="28"/>
        </w:rPr>
      </w:pPr>
      <w:r>
        <w:rPr>
          <w:rFonts w:ascii="Times New Roman" w:hAnsi="Times New Roman" w:eastAsia="黑体" w:cs="Times New Roman"/>
          <w:kern w:val="0"/>
          <w:szCs w:val="28"/>
        </w:rPr>
        <w:t>3</w:t>
      </w:r>
      <w:r>
        <w:rPr>
          <w:rFonts w:ascii="Times New Roman" w:hAnsi="Times New Roman" w:cs="Times New Roman"/>
          <w:kern w:val="0"/>
          <w:szCs w:val="28"/>
        </w:rPr>
        <w:t>、建设用地结构不尽合理</w:t>
      </w:r>
    </w:p>
    <w:p>
      <w:pPr>
        <w:autoSpaceDE w:val="0"/>
        <w:autoSpaceDN w:val="0"/>
        <w:adjustRightInd w:val="0"/>
        <w:ind w:firstLine="618" w:firstLineChars="221"/>
        <w:jc w:val="left"/>
        <w:rPr>
          <w:rFonts w:ascii="Times New Roman" w:hAnsi="Times New Roman" w:cs="Times New Roman"/>
          <w:kern w:val="0"/>
          <w:szCs w:val="28"/>
        </w:rPr>
      </w:pPr>
      <w:r>
        <w:rPr>
          <w:rFonts w:ascii="Times New Roman" w:hAnsi="Times New Roman" w:cs="Times New Roman"/>
          <w:kern w:val="0"/>
          <w:szCs w:val="28"/>
        </w:rPr>
        <w:t>藁城区建设用地面积占土地总面积的2</w:t>
      </w:r>
      <w:r>
        <w:rPr>
          <w:rFonts w:hint="eastAsia" w:ascii="Times New Roman" w:hAnsi="Times New Roman" w:cs="Times New Roman"/>
          <w:kern w:val="0"/>
          <w:szCs w:val="28"/>
        </w:rPr>
        <w:t>2.34</w:t>
      </w:r>
      <w:r>
        <w:rPr>
          <w:rFonts w:ascii="Times New Roman" w:hAnsi="Times New Roman" w:cs="Times New Roman"/>
          <w:kern w:val="0"/>
          <w:szCs w:val="28"/>
        </w:rPr>
        <w:t>%，其中城乡建设用地占全区土地总面积的</w:t>
      </w:r>
      <w:r>
        <w:rPr>
          <w:rFonts w:ascii="Times New Roman" w:hAnsi="Times New Roman" w:cs="Times New Roman"/>
          <w:kern w:val="0"/>
        </w:rPr>
        <w:t>19.</w:t>
      </w:r>
      <w:r>
        <w:rPr>
          <w:rFonts w:hint="eastAsia" w:ascii="Times New Roman" w:hAnsi="Times New Roman" w:cs="Times New Roman"/>
          <w:kern w:val="0"/>
        </w:rPr>
        <w:t>86</w:t>
      </w:r>
      <w:r>
        <w:rPr>
          <w:rFonts w:ascii="Times New Roman" w:hAnsi="Times New Roman" w:cs="Times New Roman"/>
          <w:kern w:val="0"/>
        </w:rPr>
        <w:t>%</w:t>
      </w:r>
      <w:r>
        <w:rPr>
          <w:rFonts w:ascii="Times New Roman" w:hAnsi="Times New Roman" w:cs="Times New Roman"/>
          <w:kern w:val="0"/>
          <w:szCs w:val="28"/>
        </w:rPr>
        <w:t>，交通</w:t>
      </w:r>
      <w:r>
        <w:rPr>
          <w:rFonts w:ascii="Times New Roman" w:hAnsi="Times New Roman" w:cs="Times New Roman"/>
        </w:rPr>
        <w:t>水利用地占</w:t>
      </w:r>
      <w:r>
        <w:rPr>
          <w:rFonts w:ascii="Times New Roman" w:hAnsi="Times New Roman" w:cs="Times New Roman"/>
          <w:kern w:val="0"/>
          <w:szCs w:val="28"/>
        </w:rPr>
        <w:t>全区土地总面积的</w:t>
      </w:r>
      <w:r>
        <w:rPr>
          <w:rFonts w:hint="eastAsia" w:ascii="Times New Roman" w:hAnsi="Times New Roman" w:cs="Times New Roman"/>
          <w:kern w:val="0"/>
        </w:rPr>
        <w:t>2.19</w:t>
      </w:r>
      <w:r>
        <w:rPr>
          <w:rFonts w:ascii="Times New Roman" w:hAnsi="Times New Roman" w:cs="Times New Roman"/>
          <w:kern w:val="0"/>
        </w:rPr>
        <w:t>%</w:t>
      </w:r>
      <w:r>
        <w:rPr>
          <w:rFonts w:ascii="Times New Roman" w:hAnsi="Times New Roman" w:cs="Times New Roman"/>
          <w:kern w:val="0"/>
          <w:szCs w:val="28"/>
        </w:rPr>
        <w:t>，</w:t>
      </w:r>
      <w:r>
        <w:rPr>
          <w:rFonts w:ascii="Times New Roman" w:hAnsi="Times New Roman" w:cs="Times New Roman"/>
        </w:rPr>
        <w:t>比重有待提高。城乡建设用地中，农村居民点</w:t>
      </w:r>
      <w:r>
        <w:rPr>
          <w:rFonts w:ascii="Times New Roman" w:hAnsi="Times New Roman" w:cs="Times New Roman"/>
          <w:kern w:val="0"/>
          <w:szCs w:val="28"/>
        </w:rPr>
        <w:t>布局凌乱且分散，</w:t>
      </w:r>
      <w:r>
        <w:rPr>
          <w:rFonts w:ascii="Times New Roman" w:hAnsi="Times New Roman" w:cs="Times New Roman"/>
        </w:rPr>
        <w:t>其面积占城乡建设用地总面积的78.</w:t>
      </w:r>
      <w:r>
        <w:rPr>
          <w:rFonts w:hint="eastAsia" w:ascii="Times New Roman" w:hAnsi="Times New Roman" w:cs="Times New Roman"/>
        </w:rPr>
        <w:t>34</w:t>
      </w:r>
      <w:r>
        <w:rPr>
          <w:rFonts w:ascii="Times New Roman" w:hAnsi="Times New Roman" w:cs="Times New Roman"/>
        </w:rPr>
        <w:t>%，用地比重偏大，建设用地内部结构有待进一步优化。</w:t>
      </w:r>
    </w:p>
    <w:p>
      <w:pPr>
        <w:widowControl/>
        <w:spacing w:line="240" w:lineRule="auto"/>
        <w:ind w:firstLine="0" w:firstLineChars="0"/>
        <w:jc w:val="left"/>
        <w:rPr>
          <w:rFonts w:ascii="Times New Roman" w:hAnsi="Times New Roman" w:eastAsia="黑体" w:cs="Times New Roman"/>
          <w:b/>
          <w:bCs/>
          <w:sz w:val="32"/>
          <w:szCs w:val="32"/>
        </w:rPr>
      </w:pPr>
      <w:r>
        <w:rPr>
          <w:rFonts w:ascii="Times New Roman" w:hAnsi="Times New Roman" w:cs="Times New Roman"/>
        </w:rPr>
        <w:br w:type="page"/>
      </w:r>
    </w:p>
    <w:p>
      <w:pPr>
        <w:pStyle w:val="3"/>
        <w:jc w:val="center"/>
        <w:rPr>
          <w:rFonts w:ascii="Times New Roman" w:hAnsi="Times New Roman" w:cs="Times New Roman"/>
          <w:szCs w:val="24"/>
        </w:rPr>
      </w:pPr>
      <w:bookmarkStart w:id="13" w:name="_Toc423945521"/>
      <w:r>
        <w:rPr>
          <w:rFonts w:ascii="Times New Roman" w:hAnsi="Times New Roman" w:cs="Times New Roman"/>
        </w:rPr>
        <w:t>三、土地利用总体规划执行情况评估</w:t>
      </w:r>
      <w:bookmarkEnd w:id="13"/>
    </w:p>
    <w:p>
      <w:pPr>
        <w:pStyle w:val="4"/>
        <w:spacing w:before="190" w:after="190"/>
        <w:rPr>
          <w:rFonts w:ascii="Times New Roman" w:hAnsi="Times New Roman" w:cs="Times New Roman"/>
          <w:szCs w:val="24"/>
        </w:rPr>
      </w:pPr>
      <w:bookmarkStart w:id="14" w:name="_Toc423945522"/>
      <w:r>
        <w:rPr>
          <w:rFonts w:ascii="Times New Roman" w:hAnsi="Times New Roman" w:cs="Times New Roman"/>
        </w:rPr>
        <w:t>（一）土地利用总体规划基本情况</w:t>
      </w:r>
      <w:bookmarkEnd w:id="14"/>
    </w:p>
    <w:p>
      <w:pPr>
        <w:ind w:firstLine="560"/>
        <w:rPr>
          <w:rFonts w:ascii="Times New Roman" w:hAnsi="Times New Roman" w:cs="Times New Roman"/>
        </w:rPr>
      </w:pPr>
      <w:r>
        <w:rPr>
          <w:rFonts w:ascii="Times New Roman" w:hAnsi="Times New Roman" w:cs="Times New Roman"/>
        </w:rPr>
        <w:t>《藁城区土地利用总体规划（2010-2020年）》以2009年为基期，2015年为近期目标年，2020年为规划目标年。规划范围为藁城区行政辖区内的所有土地，涉及</w:t>
      </w:r>
      <w:r>
        <w:rPr>
          <w:rFonts w:ascii="Times New Roman" w:hAnsi="Times New Roman" w:cs="Times New Roman"/>
          <w:kern w:val="0"/>
          <w:szCs w:val="28"/>
        </w:rPr>
        <w:t>廉州镇、兴安镇、常安镇、贾市庄镇、梅花镇、南营镇、丘头镇、岗上镇、九门回族乡、南董镇、张家庄镇、增村镇、南孟镇、西关镇和藁城经济开发区等14个乡镇和1个开发区，</w:t>
      </w:r>
      <w:r>
        <w:rPr>
          <w:rFonts w:ascii="Times New Roman" w:hAnsi="Times New Roman" w:cs="Times New Roman"/>
        </w:rPr>
        <w:t>总面积</w:t>
      </w:r>
      <w:r>
        <w:rPr>
          <w:rFonts w:hint="eastAsia" w:ascii="Times New Roman" w:hAnsi="Times New Roman" w:cs="Times New Roman"/>
        </w:rPr>
        <w:t>为</w:t>
      </w:r>
      <w:r>
        <w:rPr>
          <w:rFonts w:ascii="Times New Roman" w:hAnsi="Times New Roman" w:cs="Times New Roman"/>
        </w:rPr>
        <w:t>812.</w:t>
      </w:r>
      <w:r>
        <w:rPr>
          <w:rFonts w:hint="eastAsia" w:ascii="Times New Roman" w:hAnsi="Times New Roman" w:cs="Times New Roman"/>
        </w:rPr>
        <w:t>82</w:t>
      </w:r>
      <w:r>
        <w:rPr>
          <w:rFonts w:ascii="Times New Roman" w:hAnsi="Times New Roman" w:cs="Times New Roman"/>
        </w:rPr>
        <w:t>平方公里。</w:t>
      </w:r>
    </w:p>
    <w:p>
      <w:pPr>
        <w:ind w:firstLine="560"/>
        <w:rPr>
          <w:rFonts w:ascii="Times New Roman" w:hAnsi="Times New Roman" w:cs="Times New Roman"/>
        </w:rPr>
      </w:pPr>
      <w:r>
        <w:rPr>
          <w:rFonts w:ascii="Times New Roman" w:hAnsi="Times New Roman" w:cs="Times New Roman"/>
        </w:rPr>
        <w:t>1、基础数据</w:t>
      </w:r>
    </w:p>
    <w:p>
      <w:pPr>
        <w:ind w:firstLine="560"/>
        <w:rPr>
          <w:rFonts w:ascii="Times New Roman" w:hAnsi="Times New Roman" w:cs="Times New Roman"/>
        </w:rPr>
      </w:pPr>
      <w:r>
        <w:rPr>
          <w:rFonts w:ascii="Times New Roman" w:hAnsi="Times New Roman" w:cs="Times New Roman"/>
        </w:rPr>
        <w:t>按照《河北省县乡级土地利用总体规划修编指导意见》的统一要求，本轮规划基期年数据采用的是第二次全国土地调查基础数据，根据</w:t>
      </w:r>
      <w:r>
        <w:rPr>
          <w:rFonts w:hint="eastAsia" w:ascii="Times New Roman" w:hAnsi="Times New Roman" w:cs="Times New Roman"/>
        </w:rPr>
        <w:t>《县级土地利用总体规划编制规程》、《县级土地利用总体规划数据库标准》、《县级土地利用总体规划制图规范》等土地利用总体规划技术依据</w:t>
      </w:r>
      <w:r>
        <w:rPr>
          <w:rFonts w:ascii="Times New Roman" w:hAnsi="Times New Roman" w:cs="Times New Roman"/>
        </w:rPr>
        <w:t>进行规划基数转换确认。转换后的农用地、建设用地、其他土地之和与二次调查数据面积一致。</w:t>
      </w:r>
    </w:p>
    <w:p>
      <w:pPr>
        <w:spacing w:line="520" w:lineRule="exact"/>
        <w:ind w:firstLine="560"/>
        <w:jc w:val="left"/>
        <w:rPr>
          <w:rFonts w:ascii="Times New Roman" w:hAnsi="Times New Roman" w:cs="Times New Roman"/>
        </w:rPr>
      </w:pPr>
      <w:r>
        <w:rPr>
          <w:rFonts w:ascii="Times New Roman" w:hAnsi="Times New Roman" w:cs="Times New Roman"/>
        </w:rPr>
        <w:t>2、土地利用战略</w:t>
      </w:r>
    </w:p>
    <w:p>
      <w:pPr>
        <w:ind w:firstLine="560"/>
        <w:rPr>
          <w:rFonts w:ascii="Times New Roman" w:hAnsi="Times New Roman" w:cs="Times New Roman"/>
        </w:rPr>
      </w:pPr>
      <w:r>
        <w:rPr>
          <w:rFonts w:ascii="Times New Roman" w:hAnsi="Times New Roman" w:cs="Times New Roman"/>
        </w:rPr>
        <w:t>现行规划以科学发展观为统领，以全面建设小康社会</w:t>
      </w:r>
      <w:r>
        <w:rPr>
          <w:rFonts w:hint="eastAsia" w:ascii="Times New Roman" w:hAnsi="Times New Roman" w:cs="Times New Roman"/>
        </w:rPr>
        <w:t>、</w:t>
      </w:r>
      <w:r>
        <w:rPr>
          <w:rFonts w:ascii="Times New Roman" w:hAnsi="Times New Roman" w:cs="Times New Roman"/>
        </w:rPr>
        <w:t>合理利用和保护土地资源</w:t>
      </w:r>
      <w:r>
        <w:rPr>
          <w:rFonts w:hint="eastAsia" w:ascii="Times New Roman" w:hAnsi="Times New Roman" w:cs="Times New Roman"/>
        </w:rPr>
        <w:t>、</w:t>
      </w:r>
      <w:r>
        <w:rPr>
          <w:rFonts w:ascii="Times New Roman" w:hAnsi="Times New Roman" w:cs="Times New Roman"/>
        </w:rPr>
        <w:t>建设省会先进制造业中心、国家现代农业示范区、省会新兴休闲度假区为目标，以保护耕地特别是保护基本农田为前提，以推进节约集约利用土地、保障发展用地为核心，以严格控制非农建设用地规模为重点，转变用地观念，创新用地模式，完善用地机制，优化城乡用地布局与结构，保护和改善土地生态环境，加强土地利用宏观调控和用地管制，不断提高土地资源对经济、社会、环境协调可持续发展的综合保障能力。</w:t>
      </w:r>
    </w:p>
    <w:p>
      <w:pPr>
        <w:ind w:firstLine="560"/>
        <w:rPr>
          <w:rFonts w:ascii="Times New Roman" w:hAnsi="Times New Roman" w:cs="Times New Roman"/>
        </w:rPr>
      </w:pPr>
      <w:r>
        <w:rPr>
          <w:rFonts w:ascii="Times New Roman" w:hAnsi="Times New Roman" w:cs="Times New Roman"/>
        </w:rPr>
        <w:t>（1）严格保护耕地，控制非农建设占用耕地规模</w:t>
      </w:r>
    </w:p>
    <w:p>
      <w:pPr>
        <w:ind w:firstLine="560"/>
        <w:rPr>
          <w:rFonts w:ascii="Times New Roman" w:hAnsi="Times New Roman" w:cs="Times New Roman"/>
        </w:rPr>
      </w:pPr>
      <w:r>
        <w:rPr>
          <w:rFonts w:ascii="Times New Roman" w:hAnsi="Times New Roman" w:cs="Times New Roman"/>
        </w:rPr>
        <w:t>严格保护耕地和基本农田，控制非农建设占用耕地，大力加强基本农田建设，坚持建设占用耕地与补充耕地的数量和质量平衡，保护农业综合生产能力，保障粮食安全。</w:t>
      </w:r>
    </w:p>
    <w:p>
      <w:pPr>
        <w:ind w:firstLine="560"/>
        <w:rPr>
          <w:rFonts w:ascii="Times New Roman" w:hAnsi="Times New Roman" w:cs="Times New Roman"/>
        </w:rPr>
      </w:pPr>
      <w:r>
        <w:rPr>
          <w:rFonts w:ascii="Times New Roman" w:hAnsi="Times New Roman" w:cs="Times New Roman"/>
        </w:rPr>
        <w:t>（2）保障经济发展，推进土地资源节约集约利用</w:t>
      </w:r>
    </w:p>
    <w:p>
      <w:pPr>
        <w:ind w:firstLine="560"/>
        <w:rPr>
          <w:rFonts w:ascii="Times New Roman" w:hAnsi="Times New Roman" w:cs="Times New Roman"/>
        </w:rPr>
      </w:pPr>
      <w:r>
        <w:rPr>
          <w:rFonts w:ascii="Times New Roman" w:hAnsi="Times New Roman" w:cs="Times New Roman"/>
        </w:rPr>
        <w:t>突出工业园区和产业聚集区的带动能力，优先保障基础设施和重大项目建设用地需求，积极挖掘存量建设用地潜力，促进用地方式转变，提高土地利用效率，保障经济社会发展。</w:t>
      </w:r>
    </w:p>
    <w:p>
      <w:pPr>
        <w:ind w:firstLine="560"/>
        <w:rPr>
          <w:rFonts w:ascii="Times New Roman" w:hAnsi="Times New Roman" w:cs="Times New Roman"/>
        </w:rPr>
      </w:pPr>
      <w:r>
        <w:rPr>
          <w:rFonts w:ascii="Times New Roman" w:hAnsi="Times New Roman" w:cs="Times New Roman"/>
        </w:rPr>
        <w:t>（3）统筹城乡发展，优化城乡建设用地结构布局</w:t>
      </w:r>
    </w:p>
    <w:p>
      <w:pPr>
        <w:ind w:firstLine="560"/>
        <w:rPr>
          <w:rFonts w:ascii="Times New Roman" w:hAnsi="Times New Roman" w:cs="Times New Roman"/>
        </w:rPr>
      </w:pPr>
      <w:r>
        <w:rPr>
          <w:rFonts w:ascii="Times New Roman" w:hAnsi="Times New Roman" w:cs="Times New Roman"/>
        </w:rPr>
        <w:t>按照节约集约用地要求，优化城乡建设用地结构布局。按照“园区向城镇集中，产业向园区集中，人口向城镇集聚”的要求，着力建设一市双城，构建中心城区—中心镇—中心村和新型社区的城镇空间布局，引导人口和产业聚集，优化产业结构，推进土地节约集约利用和城乡一体化发展。</w:t>
      </w:r>
    </w:p>
    <w:p>
      <w:pPr>
        <w:ind w:firstLine="560"/>
        <w:rPr>
          <w:rFonts w:ascii="Times New Roman" w:hAnsi="Times New Roman" w:cs="Times New Roman"/>
        </w:rPr>
      </w:pPr>
      <w:r>
        <w:rPr>
          <w:rFonts w:ascii="Times New Roman" w:hAnsi="Times New Roman" w:cs="Times New Roman"/>
        </w:rPr>
        <w:t>（4）保护生态环境，保障土地资源可持续利用</w:t>
      </w:r>
    </w:p>
    <w:p>
      <w:pPr>
        <w:ind w:firstLine="560"/>
        <w:rPr>
          <w:rFonts w:ascii="Times New Roman" w:hAnsi="Times New Roman" w:cs="Times New Roman"/>
        </w:rPr>
      </w:pPr>
      <w:r>
        <w:rPr>
          <w:rFonts w:ascii="Times New Roman" w:hAnsi="Times New Roman" w:cs="Times New Roman"/>
        </w:rPr>
        <w:t>遵循可持续发展理念，缓解人地矛盾，保护生态环境，改善生态脆弱区和生态环境敏感区生态环境。遵循保护优先、兼顾治理的原则，合理安排生态建设和环境保护用地，确保土地资源的可持续利用。</w:t>
      </w:r>
    </w:p>
    <w:p>
      <w:pPr>
        <w:ind w:firstLine="560"/>
        <w:rPr>
          <w:rFonts w:ascii="Times New Roman" w:hAnsi="Times New Roman" w:cs="Times New Roman"/>
        </w:rPr>
      </w:pPr>
      <w:bookmarkStart w:id="15" w:name="_Toc5017"/>
      <w:r>
        <w:rPr>
          <w:rFonts w:ascii="Times New Roman" w:hAnsi="Times New Roman" w:cs="Times New Roman"/>
        </w:rPr>
        <w:t>3、规划确定指标情况</w:t>
      </w:r>
      <w:bookmarkEnd w:id="15"/>
    </w:p>
    <w:p>
      <w:pPr>
        <w:ind w:firstLine="560"/>
        <w:rPr>
          <w:rFonts w:ascii="Times New Roman" w:hAnsi="Times New Roman" w:cs="Times New Roman"/>
        </w:rPr>
      </w:pPr>
      <w:r>
        <w:rPr>
          <w:rFonts w:ascii="Times New Roman" w:hAnsi="Times New Roman" w:cs="Times New Roman"/>
        </w:rPr>
        <w:t>（1）耕地及基本农田</w:t>
      </w:r>
    </w:p>
    <w:p>
      <w:pPr>
        <w:ind w:firstLine="560"/>
        <w:rPr>
          <w:rFonts w:ascii="Times New Roman" w:hAnsi="Times New Roman" w:cs="Times New Roman"/>
        </w:rPr>
      </w:pPr>
      <w:r>
        <w:rPr>
          <w:rFonts w:ascii="Times New Roman" w:hAnsi="Times New Roman" w:cs="Times New Roman"/>
        </w:rPr>
        <w:t>规划确定到2015年，全区耕地保有量不低于52630.6公顷，到2020年耕地保有量不低于51818.0公顷；规划期间，基本农田保护面积不低于45061.0公顷，基本农田保护率不低于87.0%。</w:t>
      </w:r>
    </w:p>
    <w:p>
      <w:pPr>
        <w:ind w:firstLine="560"/>
        <w:rPr>
          <w:rFonts w:ascii="Times New Roman" w:hAnsi="Times New Roman" w:cs="Times New Roman"/>
        </w:rPr>
      </w:pPr>
      <w:r>
        <w:rPr>
          <w:rFonts w:ascii="Times New Roman" w:hAnsi="Times New Roman" w:cs="Times New Roman"/>
        </w:rPr>
        <w:t>（2）建设用地总量</w:t>
      </w:r>
    </w:p>
    <w:p>
      <w:pPr>
        <w:ind w:firstLine="560"/>
        <w:rPr>
          <w:rFonts w:ascii="Times New Roman" w:hAnsi="Times New Roman" w:cs="Times New Roman"/>
        </w:rPr>
      </w:pPr>
      <w:r>
        <w:rPr>
          <w:rFonts w:ascii="Times New Roman" w:hAnsi="Times New Roman" w:cs="Times New Roman"/>
        </w:rPr>
        <w:t>规划到2015年，全区建设用地总规模达到17759.0公顷，到2020年，建设用地总规模达到18810.3公顷；规划到2015年，全区城乡建设用地规模控制在16158.2公顷，到2020年，城乡建设用地规模控制在16999.5公顷；规划到2015年，全区城镇工矿用地规模</w:t>
      </w:r>
      <w:r>
        <w:rPr>
          <w:rFonts w:hint="eastAsia" w:ascii="Times New Roman" w:hAnsi="Times New Roman" w:cs="Times New Roman"/>
        </w:rPr>
        <w:t>达到</w:t>
      </w:r>
      <w:r>
        <w:rPr>
          <w:rFonts w:ascii="Times New Roman" w:hAnsi="Times New Roman" w:cs="Times New Roman"/>
        </w:rPr>
        <w:t>5601.3公顷，到2020年，城镇工矿用地规模</w:t>
      </w:r>
      <w:r>
        <w:rPr>
          <w:rFonts w:hint="eastAsia" w:ascii="Times New Roman" w:hAnsi="Times New Roman" w:cs="Times New Roman"/>
        </w:rPr>
        <w:t>达到</w:t>
      </w:r>
      <w:r>
        <w:rPr>
          <w:rFonts w:ascii="Times New Roman" w:hAnsi="Times New Roman" w:cs="Times New Roman"/>
        </w:rPr>
        <w:t>7857.2公顷；规划到2015年，全区交通水利及其他建设用地规模控制在1491.4公顷，到2020年交通水利及其他建设用地规模控制在1810.8公顷；</w:t>
      </w:r>
    </w:p>
    <w:p>
      <w:pPr>
        <w:ind w:firstLine="560"/>
        <w:rPr>
          <w:rFonts w:ascii="Times New Roman" w:hAnsi="Times New Roman" w:cs="Times New Roman"/>
        </w:rPr>
      </w:pPr>
      <w:r>
        <w:rPr>
          <w:rFonts w:ascii="Times New Roman" w:hAnsi="Times New Roman" w:cs="Times New Roman"/>
        </w:rPr>
        <w:t>（3）新增建设用地总规模</w:t>
      </w:r>
    </w:p>
    <w:p>
      <w:pPr>
        <w:ind w:firstLine="560"/>
        <w:rPr>
          <w:rFonts w:ascii="Times New Roman" w:hAnsi="Times New Roman" w:cs="Times New Roman"/>
        </w:rPr>
      </w:pPr>
      <w:r>
        <w:rPr>
          <w:rFonts w:ascii="Times New Roman" w:hAnsi="Times New Roman" w:cs="Times New Roman"/>
        </w:rPr>
        <w:t>规划到2015年，全区新增建设用地规模</w:t>
      </w:r>
      <w:r>
        <w:rPr>
          <w:rFonts w:hint="eastAsia" w:ascii="Times New Roman" w:hAnsi="Times New Roman" w:cs="Times New Roman"/>
        </w:rPr>
        <w:t>达到</w:t>
      </w:r>
      <w:r>
        <w:rPr>
          <w:rFonts w:ascii="Times New Roman" w:hAnsi="Times New Roman" w:cs="Times New Roman"/>
        </w:rPr>
        <w:t>1758.9公顷，其中新增建设占耕地规模控制在937.9公顷，到2020年新增建设用地规模</w:t>
      </w:r>
      <w:r>
        <w:rPr>
          <w:rFonts w:hint="eastAsia" w:ascii="Times New Roman" w:hAnsi="Times New Roman" w:cs="Times New Roman"/>
        </w:rPr>
        <w:t>达到</w:t>
      </w:r>
      <w:r>
        <w:rPr>
          <w:rFonts w:ascii="Times New Roman" w:hAnsi="Times New Roman" w:cs="Times New Roman"/>
        </w:rPr>
        <w:t>3517.7公顷，其中新增建设占耕地规模控制在1875.8公顷。</w:t>
      </w:r>
    </w:p>
    <w:p>
      <w:pPr>
        <w:tabs>
          <w:tab w:val="left" w:pos="2608"/>
        </w:tabs>
        <w:ind w:firstLine="560"/>
        <w:rPr>
          <w:rFonts w:ascii="Times New Roman" w:hAnsi="Times New Roman" w:cs="Times New Roman"/>
        </w:rPr>
      </w:pPr>
      <w:r>
        <w:rPr>
          <w:rFonts w:ascii="Times New Roman" w:hAnsi="Times New Roman" w:cs="Times New Roman"/>
        </w:rPr>
        <w:t>（4）园地、林地面积</w:t>
      </w:r>
    </w:p>
    <w:p>
      <w:pPr>
        <w:tabs>
          <w:tab w:val="left" w:pos="2608"/>
        </w:tabs>
        <w:ind w:firstLine="560"/>
        <w:rPr>
          <w:rFonts w:ascii="Times New Roman" w:hAnsi="Times New Roman" w:cs="Times New Roman"/>
        </w:rPr>
      </w:pPr>
      <w:r>
        <w:rPr>
          <w:rFonts w:hint="eastAsia" w:ascii="Times New Roman" w:hAnsi="Times New Roman" w:cs="Times New Roman"/>
        </w:rPr>
        <w:t>规划到2015年，全区园地面积达到4634.9公顷，林地面积达到1435.7公顷；</w:t>
      </w:r>
      <w:r>
        <w:rPr>
          <w:rFonts w:ascii="Times New Roman" w:hAnsi="Times New Roman" w:cs="Times New Roman"/>
        </w:rPr>
        <w:t>规划到2020年，全区园地、林地面积分别增加到5426.4公顷和1778.6公顷，水域面积保持在1707.5公顷。</w:t>
      </w:r>
    </w:p>
    <w:p>
      <w:pPr>
        <w:tabs>
          <w:tab w:val="left" w:pos="2608"/>
        </w:tabs>
        <w:ind w:firstLine="560"/>
        <w:rPr>
          <w:rFonts w:ascii="Times New Roman" w:hAnsi="Times New Roman" w:cs="Times New Roman"/>
        </w:rPr>
      </w:pPr>
      <w:r>
        <w:rPr>
          <w:rFonts w:ascii="Times New Roman" w:hAnsi="Times New Roman" w:cs="Times New Roman"/>
        </w:rPr>
        <w:t>（5）土地整治补充耕地</w:t>
      </w:r>
    </w:p>
    <w:p>
      <w:pPr>
        <w:tabs>
          <w:tab w:val="left" w:pos="2608"/>
        </w:tabs>
        <w:ind w:firstLine="560"/>
        <w:rPr>
          <w:rFonts w:ascii="Times New Roman" w:hAnsi="Times New Roman" w:cs="Times New Roman"/>
        </w:rPr>
      </w:pPr>
      <w:r>
        <w:rPr>
          <w:rFonts w:hint="eastAsia" w:ascii="Times New Roman" w:hAnsi="Times New Roman" w:cs="Times New Roman"/>
        </w:rPr>
        <w:t>规划到2015年，</w:t>
      </w:r>
      <w:r>
        <w:rPr>
          <w:rFonts w:ascii="Times New Roman" w:hAnsi="Times New Roman" w:cs="Times New Roman"/>
        </w:rPr>
        <w:t>土地整治补充耕地规模</w:t>
      </w:r>
      <w:r>
        <w:rPr>
          <w:rFonts w:hint="eastAsia" w:ascii="Times New Roman" w:hAnsi="Times New Roman" w:cs="Times New Roman"/>
        </w:rPr>
        <w:t>达到530.5公顷，规划到2020年，</w:t>
      </w:r>
      <w:r>
        <w:rPr>
          <w:rFonts w:ascii="Times New Roman" w:hAnsi="Times New Roman" w:cs="Times New Roman"/>
        </w:rPr>
        <w:t>土地整治补充耕地规模达到1061.0公顷</w:t>
      </w:r>
      <w:r>
        <w:rPr>
          <w:rFonts w:hint="eastAsia" w:ascii="Times New Roman" w:hAnsi="Times New Roman" w:cs="Times New Roman"/>
        </w:rPr>
        <w:t>。</w:t>
      </w:r>
      <w:r>
        <w:rPr>
          <w:rFonts w:ascii="Times New Roman" w:hAnsi="Times New Roman" w:cs="Times New Roman"/>
        </w:rPr>
        <w:t xml:space="preserve"> </w:t>
      </w:r>
    </w:p>
    <w:p>
      <w:pPr>
        <w:tabs>
          <w:tab w:val="left" w:pos="2608"/>
        </w:tabs>
        <w:ind w:left="0" w:leftChars="0" w:firstLine="560" w:firstLineChars="200"/>
        <w:rPr>
          <w:rFonts w:ascii="Times New Roman" w:hAnsi="Times New Roman" w:cs="Times New Roman"/>
          <w:szCs w:val="28"/>
        </w:rPr>
      </w:pPr>
      <w:r>
        <w:rPr>
          <w:rFonts w:ascii="Times New Roman" w:hAnsi="Times New Roman" w:cs="Times New Roman"/>
          <w:szCs w:val="28"/>
        </w:rPr>
        <w:t>4、规划布局</w:t>
      </w:r>
    </w:p>
    <w:p>
      <w:pPr>
        <w:tabs>
          <w:tab w:val="left" w:pos="2608"/>
        </w:tabs>
        <w:ind w:firstLine="560"/>
        <w:rPr>
          <w:rFonts w:ascii="Times New Roman" w:hAnsi="Times New Roman" w:cs="Times New Roman"/>
          <w:szCs w:val="28"/>
        </w:rPr>
      </w:pPr>
      <w:r>
        <w:rPr>
          <w:rFonts w:ascii="Times New Roman" w:hAnsi="Times New Roman" w:cs="Times New Roman"/>
          <w:szCs w:val="28"/>
        </w:rPr>
        <w:t>现行规划合理优化土地利用空间布局，实现土地资源集约高效利用，促进经济结构的优化和经济发展方式的转变。</w:t>
      </w:r>
    </w:p>
    <w:p>
      <w:pPr>
        <w:tabs>
          <w:tab w:val="left" w:pos="2608"/>
        </w:tabs>
        <w:ind w:firstLine="560"/>
        <w:rPr>
          <w:rFonts w:ascii="Times New Roman" w:hAnsi="Times New Roman" w:cs="Times New Roman"/>
          <w:szCs w:val="28"/>
        </w:rPr>
      </w:pPr>
      <w:r>
        <w:rPr>
          <w:rFonts w:ascii="Times New Roman" w:hAnsi="Times New Roman" w:cs="Times New Roman"/>
          <w:szCs w:val="28"/>
        </w:rPr>
        <w:t>（1）农用地布局</w:t>
      </w:r>
    </w:p>
    <w:p>
      <w:pPr>
        <w:ind w:firstLine="560"/>
        <w:rPr>
          <w:rFonts w:ascii="Times New Roman" w:hAnsi="Times New Roman" w:cs="Times New Roman"/>
          <w:szCs w:val="28"/>
        </w:rPr>
      </w:pPr>
      <w:r>
        <w:rPr>
          <w:rFonts w:ascii="Times New Roman" w:hAnsi="Times New Roman" w:cs="Times New Roman"/>
          <w:szCs w:val="28"/>
        </w:rPr>
        <w:t>按照因地制宜、适度集中原则，以建设国家现代农业示范区为目标，突出发展专用小麦、绿色蔬菜、畜禽养殖和优质果品等具有区域特色和明显优势的农产品，建设南北两个生态农业区，发展五大特色农产品生产区块，发挥优势，合理布局。稳定耕地面积与布局，加强优质耕地的保护。严格保护基本农田，加大整治力度，确保耕地与基本农田数量不减少，质量有提高。</w:t>
      </w:r>
    </w:p>
    <w:p>
      <w:pPr>
        <w:tabs>
          <w:tab w:val="left" w:pos="2608"/>
        </w:tabs>
        <w:ind w:firstLine="560"/>
        <w:rPr>
          <w:rFonts w:ascii="Times New Roman" w:hAnsi="Times New Roman" w:cs="Times New Roman"/>
          <w:szCs w:val="28"/>
        </w:rPr>
      </w:pPr>
      <w:r>
        <w:rPr>
          <w:rFonts w:ascii="Times New Roman" w:hAnsi="Times New Roman" w:cs="Times New Roman"/>
          <w:szCs w:val="28"/>
        </w:rPr>
        <w:t>（2）建设用地布局</w:t>
      </w:r>
    </w:p>
    <w:p>
      <w:pPr>
        <w:ind w:firstLine="560"/>
        <w:rPr>
          <w:rFonts w:ascii="Times New Roman" w:hAnsi="Times New Roman" w:cs="Times New Roman"/>
        </w:rPr>
      </w:pPr>
      <w:r>
        <w:rPr>
          <w:rFonts w:ascii="Times New Roman" w:hAnsi="Times New Roman" w:cs="Times New Roman"/>
          <w:szCs w:val="28"/>
        </w:rPr>
        <w:t>在不突破市级规划下达的城乡建设用地规模控制指标下，按照“一市双城”的城市用地格局，做大做强主城区，加快建设西部新城。合理调整工业园区布局，按照“园区向城镇集中，产业向园区集中，人口向城镇集聚”的产业和人口集聚要求，重点建设藁城经济技术开发区、石家庄循环经济化工示范基地、藁城新区三个省级产业集聚区。按照“小村并大村，联村建社区”的工作思路，稳步推进农村建设用地整理，引导农民集中建房，工业企业集中布局，逐步形成既保持乡土特色，又适应现代农业和农村发展，具有良好的生态环境的农村居民点格局。完善干线公路路网结构，进一步改善城乡道路通行条件。</w:t>
      </w:r>
    </w:p>
    <w:p>
      <w:pPr>
        <w:tabs>
          <w:tab w:val="left" w:pos="2608"/>
        </w:tabs>
        <w:ind w:firstLine="560"/>
        <w:rPr>
          <w:rFonts w:ascii="Times New Roman" w:hAnsi="Times New Roman" w:cs="Times New Roman"/>
          <w:szCs w:val="28"/>
        </w:rPr>
      </w:pPr>
      <w:r>
        <w:rPr>
          <w:rFonts w:ascii="Times New Roman" w:hAnsi="Times New Roman" w:cs="Times New Roman"/>
          <w:szCs w:val="28"/>
        </w:rPr>
        <w:t>（3）其他土地布局优化</w:t>
      </w:r>
    </w:p>
    <w:p>
      <w:pPr>
        <w:ind w:firstLine="560"/>
        <w:rPr>
          <w:rFonts w:ascii="Times New Roman" w:hAnsi="Times New Roman" w:cs="Times New Roman"/>
        </w:rPr>
      </w:pPr>
      <w:r>
        <w:rPr>
          <w:rFonts w:ascii="Times New Roman" w:hAnsi="Times New Roman" w:cs="Times New Roman"/>
          <w:szCs w:val="28"/>
        </w:rPr>
        <w:t>优化园地结构，鼓励品种结构调整，重点发展梨果、冬枣等优势品种，建设优质果品生产基地，提高产品质量。调整园地布局，引导园地逐步向滹沱河、木刀沟沿岸和滹沱河故道沙化地集中，禁止大规模优质耕地调整为园地。优化林地布局，加强生态整治，建设滹沱河、木刀沟两岸生态防护林，主要公路、铁路两侧防护林带，以及平原农田防护林网。加强畜禽养殖用地调查规划，优化畜禽用地布局，鼓励规模化养殖，推进标准化管理。引导新建畜禽场（小区）利用旧村址、废弃地、荒滩和荒草地等未利用地，严禁占用耕地从事畜禽养殖业。</w:t>
      </w:r>
    </w:p>
    <w:p>
      <w:pPr>
        <w:tabs>
          <w:tab w:val="left" w:pos="2608"/>
        </w:tabs>
        <w:ind w:firstLine="560"/>
        <w:rPr>
          <w:rFonts w:ascii="Times New Roman" w:hAnsi="Times New Roman" w:cs="Times New Roman"/>
          <w:szCs w:val="28"/>
        </w:rPr>
      </w:pPr>
      <w:r>
        <w:rPr>
          <w:rFonts w:ascii="Times New Roman" w:hAnsi="Times New Roman" w:cs="Times New Roman"/>
          <w:szCs w:val="28"/>
        </w:rPr>
        <w:t>5、规划管制分区情况</w:t>
      </w:r>
    </w:p>
    <w:p>
      <w:pPr>
        <w:tabs>
          <w:tab w:val="left" w:pos="2608"/>
        </w:tabs>
        <w:ind w:firstLine="560"/>
        <w:rPr>
          <w:rFonts w:ascii="Times New Roman" w:hAnsi="Times New Roman" w:cs="Times New Roman"/>
          <w:szCs w:val="28"/>
        </w:rPr>
      </w:pPr>
      <w:r>
        <w:rPr>
          <w:rFonts w:ascii="Times New Roman" w:hAnsi="Times New Roman" w:cs="Times New Roman"/>
          <w:szCs w:val="28"/>
        </w:rPr>
        <w:t>为协调好用地增长与土地资源保护之间的关系，倡导节约集约用地，保护农地和生态环境，控制城镇用地盲目扩张，《规划》将全区土地划分为允许建设区、有条件建设区和限制建设区。</w:t>
      </w:r>
    </w:p>
    <w:p>
      <w:pPr>
        <w:tabs>
          <w:tab w:val="left" w:pos="2608"/>
        </w:tabs>
        <w:spacing w:line="240" w:lineRule="auto"/>
        <w:ind w:firstLine="420" w:firstLineChars="150"/>
        <w:jc w:val="left"/>
        <w:rPr>
          <w:rFonts w:ascii="Times New Roman" w:hAnsi="Times New Roman" w:cs="Times New Roman"/>
          <w:szCs w:val="28"/>
        </w:rPr>
      </w:pPr>
      <w:r>
        <w:rPr>
          <w:rFonts w:ascii="Times New Roman" w:hAnsi="Times New Roman" w:cs="Times New Roman"/>
          <w:szCs w:val="28"/>
        </w:rPr>
        <w:t>（1） 允许建设区</w:t>
      </w:r>
    </w:p>
    <w:p>
      <w:pPr>
        <w:tabs>
          <w:tab w:val="left" w:pos="2608"/>
        </w:tabs>
        <w:ind w:firstLine="560"/>
        <w:rPr>
          <w:rFonts w:ascii="Times New Roman" w:hAnsi="Times New Roman" w:cs="Times New Roman"/>
          <w:szCs w:val="28"/>
        </w:rPr>
      </w:pPr>
      <w:r>
        <w:rPr>
          <w:rFonts w:ascii="Times New Roman" w:hAnsi="Times New Roman" w:cs="Times New Roman"/>
          <w:szCs w:val="28"/>
        </w:rPr>
        <w:t>允许建设区是指规划中确定的，允许作为建设用地利用，开展城乡建设的空间区域，其包含的范围是规划期内新增城镇、工矿、村庄建设用地规划选址的区域，是规划确定的城乡建设用地指标落实到空间上的用地，规划中划定藁城区允许建设区总面积17224.1公顷，占藁城区土地总面积的21.2%。</w:t>
      </w:r>
    </w:p>
    <w:p>
      <w:pPr>
        <w:tabs>
          <w:tab w:val="left" w:pos="2608"/>
        </w:tabs>
        <w:spacing w:line="240" w:lineRule="auto"/>
        <w:ind w:firstLine="420" w:firstLineChars="150"/>
        <w:jc w:val="left"/>
        <w:rPr>
          <w:rFonts w:ascii="Times New Roman" w:hAnsi="Times New Roman" w:cs="Times New Roman"/>
          <w:szCs w:val="28"/>
        </w:rPr>
      </w:pPr>
      <w:r>
        <w:rPr>
          <w:rFonts w:ascii="Times New Roman" w:hAnsi="Times New Roman" w:cs="Times New Roman"/>
          <w:szCs w:val="28"/>
        </w:rPr>
        <w:t>（2）有条件建设区</w:t>
      </w:r>
    </w:p>
    <w:p>
      <w:pPr>
        <w:tabs>
          <w:tab w:val="left" w:pos="2608"/>
        </w:tabs>
        <w:ind w:firstLine="560"/>
        <w:rPr>
          <w:rFonts w:ascii="Times New Roman" w:hAnsi="Times New Roman" w:cs="Times New Roman"/>
          <w:szCs w:val="28"/>
        </w:rPr>
      </w:pPr>
      <w:r>
        <w:rPr>
          <w:rFonts w:ascii="Times New Roman" w:hAnsi="Times New Roman" w:cs="Times New Roman"/>
          <w:szCs w:val="28"/>
        </w:rPr>
        <w:t>有条件建设区是指规划中确定的，原则上不允许作为建设用地利用，满足特定条件后可以开展城乡建设的空间区域。规划确定藁城区有条件建设区面积4728.</w:t>
      </w:r>
      <w:r>
        <w:rPr>
          <w:rFonts w:hint="eastAsia" w:ascii="Times New Roman" w:hAnsi="Times New Roman" w:cs="Times New Roman"/>
          <w:szCs w:val="28"/>
        </w:rPr>
        <w:t>19</w:t>
      </w:r>
      <w:r>
        <w:rPr>
          <w:rFonts w:ascii="Times New Roman" w:hAnsi="Times New Roman" w:cs="Times New Roman"/>
          <w:szCs w:val="28"/>
        </w:rPr>
        <w:t>公顷，占藁城区土地总面积的5.8%。</w:t>
      </w:r>
    </w:p>
    <w:p>
      <w:pPr>
        <w:tabs>
          <w:tab w:val="left" w:pos="2608"/>
        </w:tabs>
        <w:ind w:firstLine="420" w:firstLineChars="150"/>
        <w:rPr>
          <w:rFonts w:ascii="Times New Roman" w:hAnsi="Times New Roman" w:cs="Times New Roman"/>
          <w:szCs w:val="28"/>
        </w:rPr>
      </w:pPr>
      <w:r>
        <w:rPr>
          <w:rFonts w:ascii="Times New Roman" w:hAnsi="Times New Roman" w:cs="Times New Roman"/>
          <w:szCs w:val="28"/>
        </w:rPr>
        <w:t>（3）限制建设区</w:t>
      </w:r>
    </w:p>
    <w:p>
      <w:pPr>
        <w:tabs>
          <w:tab w:val="left" w:pos="2608"/>
        </w:tabs>
        <w:ind w:firstLine="560"/>
        <w:rPr>
          <w:rFonts w:ascii="Times New Roman" w:hAnsi="Times New Roman" w:cs="Times New Roman"/>
          <w:szCs w:val="28"/>
        </w:rPr>
      </w:pPr>
      <w:r>
        <w:rPr>
          <w:rFonts w:ascii="Times New Roman" w:hAnsi="Times New Roman" w:cs="Times New Roman"/>
          <w:szCs w:val="28"/>
        </w:rPr>
        <w:t>限制建设区是指藁城区范围内允许建设区和有条件建设区以外的区域。该区域面积为59333.7</w:t>
      </w:r>
      <w:r>
        <w:rPr>
          <w:rFonts w:hint="eastAsia" w:ascii="Times New Roman" w:hAnsi="Times New Roman" w:cs="Times New Roman"/>
          <w:szCs w:val="28"/>
        </w:rPr>
        <w:t>1</w:t>
      </w:r>
      <w:r>
        <w:rPr>
          <w:rFonts w:ascii="Times New Roman" w:hAnsi="Times New Roman" w:cs="Times New Roman"/>
          <w:szCs w:val="28"/>
        </w:rPr>
        <w:t>公顷，占土地总面积的73.0%。</w:t>
      </w:r>
    </w:p>
    <w:p>
      <w:pPr>
        <w:tabs>
          <w:tab w:val="left" w:pos="2608"/>
        </w:tabs>
        <w:ind w:firstLine="618" w:firstLineChars="221"/>
        <w:rPr>
          <w:rFonts w:ascii="Times New Roman" w:hAnsi="Times New Roman" w:cs="Times New Roman"/>
          <w:szCs w:val="28"/>
        </w:rPr>
      </w:pPr>
      <w:r>
        <w:rPr>
          <w:rFonts w:ascii="Times New Roman" w:hAnsi="Times New Roman" w:cs="Times New Roman"/>
          <w:szCs w:val="28"/>
        </w:rPr>
        <w:t>6、规划实施保障措施</w:t>
      </w:r>
    </w:p>
    <w:p>
      <w:pPr>
        <w:tabs>
          <w:tab w:val="left" w:pos="2608"/>
        </w:tabs>
        <w:ind w:firstLine="560"/>
        <w:rPr>
          <w:rFonts w:ascii="Times New Roman" w:hAnsi="Times New Roman" w:cs="Times New Roman"/>
          <w:szCs w:val="28"/>
        </w:rPr>
      </w:pPr>
      <w:r>
        <w:rPr>
          <w:rFonts w:ascii="Times New Roman" w:hAnsi="Times New Roman" w:cs="Times New Roman"/>
          <w:szCs w:val="28"/>
        </w:rPr>
        <w:t>（1）依法严格执行规划和加强规划执法监察</w:t>
      </w:r>
    </w:p>
    <w:p>
      <w:pPr>
        <w:ind w:firstLine="560"/>
        <w:rPr>
          <w:rFonts w:ascii="Times New Roman" w:hAnsi="Times New Roman" w:cs="Times New Roman"/>
          <w:szCs w:val="28"/>
        </w:rPr>
      </w:pPr>
      <w:r>
        <w:rPr>
          <w:rFonts w:ascii="Times New Roman" w:hAnsi="Times New Roman" w:cs="Times New Roman"/>
          <w:szCs w:val="28"/>
        </w:rPr>
        <w:t>要严格按照有关法律法规审批、使用土地，切实维护土地利用总体规划的严肃性和权威性。加强对规划执行情况的监督监察，依法查处违反规划批地、用地等违法行为，严肃查处有法不依、执法不严、违法不究和以言代法、以权代法的违法行为，对构成犯罪的，按《</w:t>
      </w:r>
      <w:r>
        <w:rPr>
          <w:rFonts w:hint="eastAsia" w:ascii="Times New Roman" w:hAnsi="Times New Roman" w:cs="Times New Roman"/>
          <w:szCs w:val="28"/>
        </w:rPr>
        <w:t>中华人民共和国</w:t>
      </w:r>
      <w:bookmarkStart w:id="29" w:name="_GoBack"/>
      <w:bookmarkEnd w:id="29"/>
      <w:r>
        <w:rPr>
          <w:rFonts w:ascii="Times New Roman" w:hAnsi="Times New Roman" w:cs="Times New Roman"/>
          <w:szCs w:val="28"/>
        </w:rPr>
        <w:t>刑法》相关条款追究法律责任。</w:t>
      </w:r>
    </w:p>
    <w:p>
      <w:pPr>
        <w:tabs>
          <w:tab w:val="left" w:pos="2608"/>
        </w:tabs>
        <w:ind w:firstLine="560"/>
        <w:rPr>
          <w:rFonts w:ascii="Times New Roman" w:hAnsi="Times New Roman" w:cs="Times New Roman"/>
          <w:szCs w:val="28"/>
        </w:rPr>
      </w:pPr>
      <w:r>
        <w:rPr>
          <w:rFonts w:ascii="Times New Roman" w:hAnsi="Times New Roman" w:cs="Times New Roman"/>
          <w:szCs w:val="28"/>
        </w:rPr>
        <w:t>（2）健全规划实施行政管理制度</w:t>
      </w:r>
    </w:p>
    <w:p>
      <w:pPr>
        <w:tabs>
          <w:tab w:val="left" w:pos="2608"/>
        </w:tabs>
        <w:ind w:firstLine="560"/>
        <w:rPr>
          <w:rFonts w:ascii="Times New Roman" w:hAnsi="Times New Roman" w:cs="Times New Roman"/>
          <w:szCs w:val="28"/>
        </w:rPr>
      </w:pPr>
      <w:r>
        <w:rPr>
          <w:rFonts w:ascii="Times New Roman" w:hAnsi="Times New Roman" w:cs="Times New Roman"/>
          <w:szCs w:val="28"/>
        </w:rPr>
        <w:t>1）加强对土地利用的整体控制</w:t>
      </w:r>
    </w:p>
    <w:p>
      <w:pPr>
        <w:ind w:firstLine="560"/>
        <w:rPr>
          <w:rFonts w:ascii="Times New Roman" w:hAnsi="Times New Roman" w:cs="Times New Roman"/>
          <w:szCs w:val="28"/>
        </w:rPr>
      </w:pPr>
      <w:r>
        <w:rPr>
          <w:rFonts w:ascii="Times New Roman" w:hAnsi="Times New Roman" w:cs="Times New Roman"/>
          <w:szCs w:val="28"/>
        </w:rPr>
        <w:t>土地利用总体规划是统筹区域土地利用的高层次规划，对其他各类涉及土地利用的专项和行业规划具有指导作用。各有关涉地规划，应当与土地利用总体规划在发展方向、空间布局、开发时序、用地规模上相衔接，凡不符合上述要求的各类涉地规划，均应依据土地利用总体规划进行调整和修改。新增建设项目的布局应当符合土地利用总体规划，不符合的应及时调整修改。</w:t>
      </w:r>
    </w:p>
    <w:p>
      <w:pPr>
        <w:ind w:firstLine="560"/>
        <w:rPr>
          <w:rFonts w:ascii="Times New Roman" w:hAnsi="Times New Roman" w:cs="Times New Roman"/>
          <w:szCs w:val="28"/>
        </w:rPr>
      </w:pPr>
      <w:r>
        <w:rPr>
          <w:rFonts w:ascii="Times New Roman" w:hAnsi="Times New Roman" w:cs="Times New Roman"/>
          <w:szCs w:val="28"/>
        </w:rPr>
        <w:t>2）强化对乡镇规划的控制</w:t>
      </w:r>
    </w:p>
    <w:p>
      <w:pPr>
        <w:ind w:firstLine="560"/>
        <w:rPr>
          <w:rFonts w:ascii="Times New Roman" w:hAnsi="Times New Roman" w:cs="Times New Roman"/>
          <w:szCs w:val="28"/>
        </w:rPr>
      </w:pPr>
      <w:r>
        <w:rPr>
          <w:rFonts w:ascii="Times New Roman" w:hAnsi="Times New Roman" w:cs="Times New Roman"/>
          <w:szCs w:val="28"/>
        </w:rPr>
        <w:t>各乡镇人民政府在编制本行政区域土地利用总体规划时，要按照下级规划服从上级规划的原则，认真落实确定的各项目标任务，将土地用途落实到地块。</w:t>
      </w:r>
    </w:p>
    <w:p>
      <w:pPr>
        <w:ind w:firstLine="560"/>
        <w:rPr>
          <w:rFonts w:ascii="Times New Roman" w:hAnsi="Times New Roman" w:cs="Times New Roman"/>
          <w:szCs w:val="28"/>
        </w:rPr>
      </w:pPr>
      <w:r>
        <w:rPr>
          <w:rFonts w:ascii="Times New Roman" w:hAnsi="Times New Roman" w:cs="Times New Roman"/>
          <w:szCs w:val="28"/>
        </w:rPr>
        <w:t>3）完善耕地和基本农田保护责任考核制度</w:t>
      </w:r>
    </w:p>
    <w:p>
      <w:pPr>
        <w:ind w:firstLine="560"/>
        <w:rPr>
          <w:rFonts w:ascii="Times New Roman" w:hAnsi="Times New Roman" w:cs="Times New Roman"/>
          <w:szCs w:val="28"/>
        </w:rPr>
      </w:pPr>
      <w:r>
        <w:rPr>
          <w:rFonts w:ascii="Times New Roman" w:hAnsi="Times New Roman" w:cs="Times New Roman"/>
          <w:szCs w:val="28"/>
        </w:rPr>
        <w:t>严格执行耕地和基本农田保护制度，完善责任考核体系，强化监管。将耕地保有量、基本农田保护面积、补充耕地的面积和质量作为耕地和基本农田保护目标考核的主要内容，列为地方经济社会发展评价和干部实绩考核的重要因素，严格落实责任制，乡镇政府主要负责人要对本行政区域内耕地和基本农田保护工作负总责。</w:t>
      </w:r>
    </w:p>
    <w:p>
      <w:pPr>
        <w:ind w:firstLine="560"/>
        <w:rPr>
          <w:rFonts w:ascii="Times New Roman" w:hAnsi="Times New Roman" w:cs="Times New Roman"/>
          <w:szCs w:val="28"/>
        </w:rPr>
      </w:pPr>
      <w:r>
        <w:rPr>
          <w:rFonts w:ascii="Times New Roman" w:hAnsi="Times New Roman" w:cs="Times New Roman"/>
          <w:szCs w:val="28"/>
        </w:rPr>
        <w:t>4）建立和完善节约集约用地机制</w:t>
      </w:r>
    </w:p>
    <w:p>
      <w:pPr>
        <w:ind w:firstLine="560"/>
        <w:rPr>
          <w:rFonts w:ascii="Times New Roman" w:hAnsi="Times New Roman" w:cs="Times New Roman"/>
          <w:szCs w:val="28"/>
        </w:rPr>
      </w:pPr>
      <w:r>
        <w:rPr>
          <w:rFonts w:ascii="Times New Roman" w:hAnsi="Times New Roman" w:cs="Times New Roman"/>
          <w:szCs w:val="28"/>
        </w:rPr>
        <w:t>建立和完善节约集约用地评价与考核体系，将土地利用年度计划指标与节约集约用地水平挂钩，对超额完成节约集约用地目标的给予适当奖励；对工作力度不够，措施不到位，长期低效利用土地没有改观的，要核减新增建设用地计划指标，促进土地节约集约利用工作的开展。</w:t>
      </w:r>
    </w:p>
    <w:p>
      <w:pPr>
        <w:ind w:firstLine="560"/>
        <w:rPr>
          <w:rFonts w:ascii="Times New Roman" w:hAnsi="Times New Roman" w:cs="Times New Roman"/>
          <w:szCs w:val="28"/>
        </w:rPr>
      </w:pPr>
      <w:r>
        <w:rPr>
          <w:rFonts w:ascii="Times New Roman" w:hAnsi="Times New Roman" w:cs="Times New Roman"/>
          <w:szCs w:val="28"/>
        </w:rPr>
        <w:t>5）规范城乡建设用地增减挂钩项目管理制度</w:t>
      </w:r>
    </w:p>
    <w:p>
      <w:pPr>
        <w:ind w:firstLine="560"/>
        <w:rPr>
          <w:rFonts w:ascii="Times New Roman" w:hAnsi="Times New Roman" w:cs="Times New Roman"/>
          <w:szCs w:val="28"/>
        </w:rPr>
      </w:pPr>
      <w:r>
        <w:rPr>
          <w:rFonts w:ascii="Times New Roman" w:hAnsi="Times New Roman" w:cs="Times New Roman"/>
          <w:szCs w:val="28"/>
        </w:rPr>
        <w:t>严格以项目管理为核心的城乡建设用地增减挂钩制度，合理安排使用挂钩周转指标，科学安排增减挂钩项目区和建新拆旧地块，科学编制增减挂钩项目规划设计和实施方案，并对项目实施可行性进行充分论证，严格审批管理。强化拆旧地块监管，对未按设计要求完成拆旧的，要停止新区建设，并及时核减新增用地计划指标。拆旧地块要以复耕为主，确保项目实施后耕地面积不减少，建设用地总量不增加，布局更合理。</w:t>
      </w:r>
    </w:p>
    <w:p>
      <w:pPr>
        <w:ind w:firstLine="560"/>
        <w:rPr>
          <w:rFonts w:ascii="Times New Roman" w:hAnsi="Times New Roman" w:cs="Times New Roman"/>
          <w:szCs w:val="28"/>
        </w:rPr>
      </w:pPr>
      <w:r>
        <w:rPr>
          <w:rFonts w:ascii="Times New Roman" w:hAnsi="Times New Roman" w:cs="Times New Roman"/>
          <w:szCs w:val="28"/>
        </w:rPr>
        <w:t>6）严格执行规划管理制度</w:t>
      </w:r>
    </w:p>
    <w:p>
      <w:pPr>
        <w:ind w:firstLine="560"/>
        <w:rPr>
          <w:rFonts w:ascii="Times New Roman" w:hAnsi="Times New Roman" w:cs="Times New Roman"/>
          <w:szCs w:val="28"/>
        </w:rPr>
      </w:pPr>
      <w:r>
        <w:rPr>
          <w:rFonts w:ascii="Times New Roman" w:hAnsi="Times New Roman" w:cs="Times New Roman"/>
          <w:szCs w:val="28"/>
        </w:rPr>
        <w:t>按照“总量控制、保障重点、统筹兼顾、依法用地”的原则，加强规划实施的年度计划管理、建设项目用地预审管理、农用地转用规划许可管理、土地用途管制管理、土地整治规划管理、规划的调整与修改管理、其他涉地规划符合审查管理等规划实施的各环节管理，严格执行有关法律法规的各项规定，确保规划目标和任务的实施，确保土地科学、合理、高效、可持续利用。</w:t>
      </w:r>
    </w:p>
    <w:p>
      <w:pPr>
        <w:ind w:firstLine="560"/>
        <w:rPr>
          <w:rFonts w:ascii="Times New Roman" w:hAnsi="Times New Roman" w:cs="Times New Roman"/>
          <w:szCs w:val="28"/>
        </w:rPr>
      </w:pPr>
      <w:r>
        <w:rPr>
          <w:rFonts w:ascii="Times New Roman" w:hAnsi="Times New Roman" w:cs="Times New Roman"/>
          <w:szCs w:val="28"/>
        </w:rPr>
        <w:t>7）建立土地利用总体规划的动态管理制度</w:t>
      </w:r>
    </w:p>
    <w:p>
      <w:pPr>
        <w:ind w:firstLine="560"/>
        <w:rPr>
          <w:rFonts w:ascii="Times New Roman" w:hAnsi="Times New Roman" w:cs="Times New Roman"/>
          <w:szCs w:val="28"/>
        </w:rPr>
      </w:pPr>
      <w:r>
        <w:rPr>
          <w:rFonts w:ascii="Times New Roman" w:hAnsi="Times New Roman" w:cs="Times New Roman"/>
          <w:szCs w:val="28"/>
        </w:rPr>
        <w:t>加强规划的规范管理，维护规划的严肃性，运用先进的信息技术，建立健全土地利用的全程监控体系，实行规划执行情况和实施绩效的评估制度。根据经济社会环境不断变化的实际情况，适时调整建设用地发展边界和发展方向，使规划具有期限滚动后延的时序性。</w:t>
      </w:r>
    </w:p>
    <w:p>
      <w:pPr>
        <w:ind w:firstLine="560"/>
        <w:rPr>
          <w:rFonts w:ascii="Times New Roman" w:hAnsi="Times New Roman" w:cs="Times New Roman"/>
          <w:szCs w:val="28"/>
        </w:rPr>
      </w:pPr>
      <w:r>
        <w:rPr>
          <w:rFonts w:ascii="Times New Roman" w:hAnsi="Times New Roman" w:cs="Times New Roman"/>
          <w:szCs w:val="28"/>
        </w:rPr>
        <w:t>（3）完善规划实施经济调控机制</w:t>
      </w:r>
    </w:p>
    <w:p>
      <w:pPr>
        <w:ind w:firstLine="560"/>
        <w:rPr>
          <w:rFonts w:ascii="Times New Roman" w:hAnsi="Times New Roman" w:cs="Times New Roman"/>
          <w:szCs w:val="28"/>
        </w:rPr>
      </w:pPr>
      <w:r>
        <w:rPr>
          <w:rFonts w:ascii="Times New Roman" w:hAnsi="Times New Roman" w:cs="Times New Roman"/>
          <w:szCs w:val="28"/>
        </w:rPr>
        <w:t>1）建立资源生态补偿和区域补偿机制</w:t>
      </w:r>
    </w:p>
    <w:p>
      <w:pPr>
        <w:ind w:firstLine="560"/>
        <w:rPr>
          <w:rFonts w:ascii="Times New Roman" w:hAnsi="Times New Roman" w:cs="Times New Roman"/>
          <w:szCs w:val="28"/>
        </w:rPr>
      </w:pPr>
      <w:r>
        <w:rPr>
          <w:rFonts w:ascii="Times New Roman" w:hAnsi="Times New Roman" w:cs="Times New Roman"/>
          <w:szCs w:val="28"/>
        </w:rPr>
        <w:t>根据资源条件和发展优势，科学合理确定各乡镇经济发展方向，对以生态建设和农业为主的区域，应由上级和重点工矿发展区域给予适当生态和区域补偿，以弥补其由于发展机会不平等而造成的经济损失，形成各区域共享发展成果，创造全社会平等发展机会。</w:t>
      </w:r>
    </w:p>
    <w:p>
      <w:pPr>
        <w:ind w:firstLine="560"/>
        <w:rPr>
          <w:rFonts w:ascii="Times New Roman" w:hAnsi="Times New Roman" w:cs="Times New Roman"/>
          <w:szCs w:val="28"/>
        </w:rPr>
      </w:pPr>
      <w:r>
        <w:rPr>
          <w:rFonts w:ascii="Times New Roman" w:hAnsi="Times New Roman" w:cs="Times New Roman"/>
          <w:szCs w:val="28"/>
        </w:rPr>
        <w:t>2）建立耕地和基本农田保护与补充激励机制</w:t>
      </w:r>
    </w:p>
    <w:p>
      <w:pPr>
        <w:ind w:firstLine="560"/>
        <w:rPr>
          <w:rFonts w:ascii="Times New Roman" w:hAnsi="Times New Roman" w:cs="Times New Roman"/>
          <w:szCs w:val="28"/>
        </w:rPr>
      </w:pPr>
      <w:r>
        <w:rPr>
          <w:rFonts w:ascii="Times New Roman" w:hAnsi="Times New Roman" w:cs="Times New Roman"/>
          <w:szCs w:val="28"/>
        </w:rPr>
        <w:t>加大公共财政投入力度，进一步推进土地整治工作，重点支持农村建设用地整理工作。要因地制宜，在符合生态环境要求的前提下，适度开发荒草地，努力完成耕地补充任务。建立经济激励机制，引导社会力量参与土地开发整理和耕地补充，建立多元化筹资渠道和市场化运作方式，实施耕地和基本农田质量建设，促进农业生产能力提高。</w:t>
      </w:r>
    </w:p>
    <w:p>
      <w:pPr>
        <w:ind w:firstLine="560"/>
        <w:rPr>
          <w:rFonts w:ascii="Times New Roman" w:hAnsi="Times New Roman" w:cs="Times New Roman"/>
          <w:szCs w:val="28"/>
        </w:rPr>
      </w:pPr>
      <w:r>
        <w:rPr>
          <w:rFonts w:ascii="Times New Roman" w:hAnsi="Times New Roman" w:cs="Times New Roman"/>
          <w:szCs w:val="28"/>
        </w:rPr>
        <w:t>3）建立节约集约用地利益调节机制</w:t>
      </w:r>
    </w:p>
    <w:p>
      <w:pPr>
        <w:ind w:firstLine="560"/>
        <w:rPr>
          <w:rFonts w:ascii="Times New Roman" w:hAnsi="Times New Roman" w:cs="Times New Roman"/>
          <w:szCs w:val="28"/>
        </w:rPr>
      </w:pPr>
      <w:r>
        <w:rPr>
          <w:rFonts w:ascii="Times New Roman" w:hAnsi="Times New Roman" w:cs="Times New Roman"/>
          <w:szCs w:val="28"/>
        </w:rPr>
        <w:t>进一步完善土地市场体系，增强地价和土地收益在土地增量供应和存量挖潜中的调节力度，引导建设用地走内涵挖潜的路子。积极盘活存量闲置低效利用土地，鼓励城市建设向空中、向地下发展，鼓励工业企业在符合规划、不改变土地用途前提下，提高土地利用率，促进土地节约集约利用。</w:t>
      </w:r>
    </w:p>
    <w:p>
      <w:pPr>
        <w:ind w:firstLine="560"/>
        <w:rPr>
          <w:rFonts w:ascii="Times New Roman" w:hAnsi="Times New Roman" w:cs="Times New Roman"/>
          <w:szCs w:val="28"/>
        </w:rPr>
      </w:pPr>
      <w:r>
        <w:rPr>
          <w:rFonts w:ascii="Times New Roman" w:hAnsi="Times New Roman" w:cs="Times New Roman"/>
          <w:szCs w:val="28"/>
        </w:rPr>
        <w:t>4）新农村建设和城乡建设用地增减挂钩激励机制</w:t>
      </w:r>
    </w:p>
    <w:p>
      <w:pPr>
        <w:ind w:firstLine="560"/>
        <w:rPr>
          <w:rFonts w:ascii="Times New Roman" w:hAnsi="Times New Roman" w:cs="Times New Roman"/>
          <w:szCs w:val="28"/>
        </w:rPr>
      </w:pPr>
      <w:r>
        <w:rPr>
          <w:rFonts w:ascii="Times New Roman" w:hAnsi="Times New Roman" w:cs="Times New Roman"/>
          <w:szCs w:val="28"/>
        </w:rPr>
        <w:t>符合规划的前提下，积极促进村庄、集镇中的农村集体建设用地使用权依法流转，加大政府财政转移支付力度，及时全部将土地有偿使用费、土地出让收益用于支持新农村建设。</w:t>
      </w:r>
    </w:p>
    <w:p>
      <w:pPr>
        <w:ind w:firstLine="560"/>
        <w:rPr>
          <w:rFonts w:ascii="Times New Roman" w:hAnsi="Times New Roman" w:cs="Times New Roman"/>
          <w:szCs w:val="28"/>
        </w:rPr>
      </w:pPr>
      <w:r>
        <w:rPr>
          <w:rFonts w:ascii="Times New Roman" w:hAnsi="Times New Roman" w:cs="Times New Roman"/>
          <w:szCs w:val="28"/>
        </w:rPr>
        <w:t>5）完善土地使用税费的征收管理机制</w:t>
      </w:r>
    </w:p>
    <w:p>
      <w:pPr>
        <w:ind w:firstLine="560"/>
        <w:rPr>
          <w:rFonts w:ascii="Times New Roman" w:hAnsi="Times New Roman" w:cs="Times New Roman"/>
          <w:szCs w:val="28"/>
        </w:rPr>
      </w:pPr>
      <w:r>
        <w:rPr>
          <w:rFonts w:ascii="Times New Roman" w:hAnsi="Times New Roman" w:cs="Times New Roman"/>
          <w:szCs w:val="28"/>
        </w:rPr>
        <w:t>全面推进土地的有偿使用制度，逐步将城镇建设用地、乡镇企业建设用地引进市场机制，建立土地的有偿、有期限、有流动的使用制度，用经济手段优化土地利用结构和调整土地利用方向，建立节约用地、优化用地结构的自我约束机制，不断提高土地利用的综合效益。</w:t>
      </w:r>
    </w:p>
    <w:p>
      <w:pPr>
        <w:ind w:firstLine="478" w:firstLineChars="171"/>
        <w:rPr>
          <w:rFonts w:ascii="Times New Roman" w:hAnsi="Times New Roman" w:cs="Times New Roman"/>
          <w:szCs w:val="28"/>
        </w:rPr>
      </w:pPr>
      <w:r>
        <w:rPr>
          <w:rFonts w:ascii="Times New Roman" w:hAnsi="Times New Roman" w:cs="Times New Roman"/>
          <w:szCs w:val="28"/>
        </w:rPr>
        <w:t>（4）强化规划实施技术手段</w:t>
      </w:r>
    </w:p>
    <w:p>
      <w:pPr>
        <w:ind w:firstLine="560"/>
        <w:rPr>
          <w:rFonts w:ascii="Times New Roman" w:hAnsi="Times New Roman" w:cs="Times New Roman"/>
          <w:szCs w:val="28"/>
        </w:rPr>
      </w:pPr>
      <w:r>
        <w:rPr>
          <w:rFonts w:ascii="Times New Roman" w:hAnsi="Times New Roman" w:cs="Times New Roman"/>
          <w:szCs w:val="28"/>
        </w:rPr>
        <w:t>综合运用遥感、地理信息系统等信息技术，加强和改进规划实施的动态管理工作。建立涵盖土地利用现状、土地利用规划、土地质量调查、建设用地审批等数据的统一地政管理数据库，建立规划实施动态监测体系，对土地利用规划实施实行全程监控。</w:t>
      </w:r>
    </w:p>
    <w:p>
      <w:pPr>
        <w:ind w:firstLine="560"/>
        <w:rPr>
          <w:rFonts w:ascii="Times New Roman" w:hAnsi="Times New Roman" w:cs="Times New Roman"/>
          <w:szCs w:val="28"/>
        </w:rPr>
      </w:pPr>
      <w:r>
        <w:rPr>
          <w:rFonts w:ascii="Times New Roman" w:hAnsi="Times New Roman" w:cs="Times New Roman"/>
          <w:szCs w:val="28"/>
        </w:rPr>
        <w:t>开展规划执行情况和实施绩效评估，根据评估情况和经济社会发展要求，在总用地规模不变的前提下，适时对建设用地规模边界和发展方向进行“修正”，妥善解决规划刚性和发展的不确定性之间的矛盾，提高规划期限滚动后延的时序性和可操作性。</w:t>
      </w:r>
    </w:p>
    <w:p>
      <w:pPr>
        <w:ind w:firstLine="560"/>
        <w:rPr>
          <w:rFonts w:ascii="Times New Roman" w:hAnsi="Times New Roman" w:cs="Times New Roman"/>
          <w:szCs w:val="28"/>
        </w:rPr>
      </w:pPr>
      <w:r>
        <w:rPr>
          <w:rFonts w:ascii="Times New Roman" w:hAnsi="Times New Roman" w:cs="Times New Roman"/>
          <w:szCs w:val="28"/>
        </w:rPr>
        <w:t>（5）强化规划实施社会保障</w:t>
      </w:r>
    </w:p>
    <w:p>
      <w:pPr>
        <w:ind w:firstLine="560"/>
        <w:rPr>
          <w:rFonts w:ascii="Times New Roman" w:hAnsi="Times New Roman" w:cs="Times New Roman"/>
          <w:szCs w:val="28"/>
        </w:rPr>
      </w:pPr>
      <w:r>
        <w:rPr>
          <w:rFonts w:ascii="Times New Roman" w:hAnsi="Times New Roman" w:cs="Times New Roman"/>
          <w:szCs w:val="28"/>
        </w:rPr>
        <w:t>1）加强规划舆论宣传</w:t>
      </w:r>
    </w:p>
    <w:p>
      <w:pPr>
        <w:ind w:firstLine="560"/>
        <w:rPr>
          <w:rFonts w:ascii="Times New Roman" w:hAnsi="Times New Roman" w:cs="Times New Roman"/>
          <w:szCs w:val="28"/>
        </w:rPr>
      </w:pPr>
      <w:r>
        <w:rPr>
          <w:rFonts w:ascii="Times New Roman" w:hAnsi="Times New Roman" w:cs="Times New Roman"/>
          <w:szCs w:val="28"/>
        </w:rPr>
        <w:t>充分利用各种媒体，对规划主要内容进行广泛宣传，提高全社会依法依规用地意识，增强对科学用地、节约用地、保护资源重要性的认识，使遵守土地利用法律、规划</w:t>
      </w:r>
      <w:r>
        <w:rPr>
          <w:rFonts w:hint="eastAsia" w:ascii="Times New Roman" w:hAnsi="Times New Roman" w:cs="Times New Roman"/>
          <w:szCs w:val="28"/>
        </w:rPr>
        <w:t>和</w:t>
      </w:r>
      <w:r>
        <w:rPr>
          <w:rFonts w:ascii="Times New Roman" w:hAnsi="Times New Roman" w:cs="Times New Roman"/>
          <w:szCs w:val="28"/>
        </w:rPr>
        <w:t>政策成为全社会的自觉行为。</w:t>
      </w:r>
    </w:p>
    <w:p>
      <w:pPr>
        <w:ind w:firstLine="560"/>
        <w:rPr>
          <w:rFonts w:ascii="Times New Roman" w:hAnsi="Times New Roman" w:cs="Times New Roman"/>
          <w:szCs w:val="28"/>
        </w:rPr>
      </w:pPr>
      <w:r>
        <w:rPr>
          <w:rFonts w:ascii="Times New Roman" w:hAnsi="Times New Roman" w:cs="Times New Roman"/>
          <w:szCs w:val="28"/>
        </w:rPr>
        <w:t>2）建立健全公众参与制度</w:t>
      </w:r>
    </w:p>
    <w:p>
      <w:pPr>
        <w:ind w:firstLine="560"/>
        <w:rPr>
          <w:rFonts w:ascii="Times New Roman" w:hAnsi="Times New Roman" w:cs="Times New Roman"/>
          <w:szCs w:val="28"/>
        </w:rPr>
      </w:pPr>
      <w:r>
        <w:rPr>
          <w:rFonts w:ascii="Times New Roman" w:hAnsi="Times New Roman" w:cs="Times New Roman"/>
          <w:szCs w:val="28"/>
        </w:rPr>
        <w:t>扩大规划民主决策，建立公众参与土地利用总体规划实施和管理制度。不断拓宽公众参与渠道、创新公众参与方式、完善规划论证、听证、公示制度，形成“政府主导、专家领衔、公众参与、民主决策”的社会参与机制。</w:t>
      </w:r>
    </w:p>
    <w:p>
      <w:pPr>
        <w:ind w:firstLine="560"/>
        <w:rPr>
          <w:rFonts w:ascii="Times New Roman" w:hAnsi="Times New Roman" w:cs="Times New Roman"/>
          <w:szCs w:val="28"/>
        </w:rPr>
      </w:pPr>
      <w:r>
        <w:rPr>
          <w:rFonts w:ascii="Times New Roman" w:hAnsi="Times New Roman" w:cs="Times New Roman"/>
          <w:szCs w:val="28"/>
        </w:rPr>
        <w:t>3）加强规划实施的公众监督</w:t>
      </w:r>
    </w:p>
    <w:p>
      <w:pPr>
        <w:ind w:firstLine="560"/>
        <w:rPr>
          <w:rFonts w:ascii="Times New Roman" w:hAnsi="Times New Roman" w:cs="Times New Roman"/>
          <w:szCs w:val="28"/>
        </w:rPr>
      </w:pPr>
      <w:r>
        <w:rPr>
          <w:rFonts w:ascii="Times New Roman" w:hAnsi="Times New Roman" w:cs="Times New Roman"/>
          <w:szCs w:val="28"/>
        </w:rPr>
        <w:t>经批准的土地利用总体规划，应依法公告，接受公众监督。建立土地利用规划信息公开和可查询制度，充分利用各种媒体，向社会公开规划方案、规划实施进展等信息，建立健全人民群众对规划实施的监督机制，最大限度发挥规划成果的社会、经济和环境效益。</w:t>
      </w:r>
    </w:p>
    <w:p>
      <w:pPr>
        <w:widowControl/>
        <w:spacing w:line="240" w:lineRule="auto"/>
        <w:ind w:firstLine="0" w:firstLineChars="0"/>
        <w:jc w:val="left"/>
        <w:rPr>
          <w:rFonts w:ascii="Times New Roman" w:hAnsi="Times New Roman" w:eastAsia="黑体" w:cs="Times New Roman"/>
          <w:b/>
          <w:bCs/>
          <w:sz w:val="32"/>
          <w:szCs w:val="32"/>
        </w:rPr>
      </w:pPr>
      <w:r>
        <w:rPr>
          <w:rFonts w:ascii="Times New Roman" w:hAnsi="Times New Roman" w:cs="Times New Roman"/>
        </w:rPr>
        <w:br w:type="page"/>
      </w:r>
    </w:p>
    <w:p>
      <w:pPr>
        <w:pStyle w:val="3"/>
        <w:jc w:val="center"/>
        <w:rPr>
          <w:rFonts w:ascii="Times New Roman" w:hAnsi="Times New Roman" w:cs="Times New Roman"/>
        </w:rPr>
      </w:pPr>
      <w:bookmarkStart w:id="16" w:name="_Toc423945526"/>
      <w:r>
        <w:rPr>
          <w:rFonts w:ascii="Times New Roman" w:hAnsi="Times New Roman" w:cs="Times New Roman"/>
        </w:rPr>
        <w:t>四、规划与经济社会发展适应程度分析</w:t>
      </w:r>
      <w:bookmarkEnd w:id="16"/>
    </w:p>
    <w:p>
      <w:pPr>
        <w:tabs>
          <w:tab w:val="left" w:pos="2608"/>
        </w:tabs>
        <w:ind w:firstLine="560"/>
        <w:rPr>
          <w:rFonts w:ascii="Times New Roman" w:hAnsi="Times New Roman" w:cs="Times New Roman"/>
          <w:szCs w:val="28"/>
        </w:rPr>
      </w:pPr>
      <w:r>
        <w:rPr>
          <w:rFonts w:ascii="Times New Roman" w:hAnsi="Times New Roman" w:cs="Times New Roman"/>
          <w:szCs w:val="28"/>
        </w:rPr>
        <w:t>土地</w:t>
      </w:r>
      <w:r>
        <w:rPr>
          <w:rFonts w:hint="eastAsia" w:ascii="Times New Roman" w:hAnsi="Times New Roman" w:cs="Times New Roman"/>
          <w:szCs w:val="28"/>
        </w:rPr>
        <w:t>利用</w:t>
      </w:r>
      <w:r>
        <w:rPr>
          <w:rFonts w:ascii="Times New Roman" w:hAnsi="Times New Roman" w:cs="Times New Roman"/>
          <w:szCs w:val="28"/>
        </w:rPr>
        <w:t>规划与经济社会发展适应性指在规划执行一段时间后，规划的目标与经济社会实际发展状况和未来发展趋势的适应程度。主要评估在当前或可预见的将来规划指标的满足程度、规划布局与实际建设的一致性、用地潜力的挖掘程度对经济社会发展的保障性、贡献性等。</w:t>
      </w:r>
    </w:p>
    <w:p>
      <w:pPr>
        <w:pStyle w:val="4"/>
        <w:spacing w:before="190" w:after="190"/>
        <w:rPr>
          <w:rFonts w:ascii="Times New Roman" w:hAnsi="Times New Roman" w:cs="Times New Roman"/>
        </w:rPr>
      </w:pPr>
      <w:bookmarkStart w:id="17" w:name="_Toc423945527"/>
      <w:r>
        <w:rPr>
          <w:rFonts w:ascii="Times New Roman" w:hAnsi="Times New Roman" w:cs="Times New Roman"/>
        </w:rPr>
        <w:t>（一）经济增长、人口变化与土地利用变化情况分析</w:t>
      </w:r>
      <w:bookmarkEnd w:id="17"/>
    </w:p>
    <w:p>
      <w:pPr>
        <w:ind w:firstLine="560"/>
        <w:rPr>
          <w:rFonts w:ascii="Times New Roman" w:hAnsi="Times New Roman" w:cs="Times New Roman"/>
          <w:szCs w:val="28"/>
          <w:highlight w:val="yellow"/>
        </w:rPr>
      </w:pPr>
      <w:r>
        <w:rPr>
          <w:rFonts w:ascii="Times New Roman" w:hAnsi="Times New Roman" w:cs="Times New Roman"/>
          <w:szCs w:val="28"/>
        </w:rPr>
        <w:t>201</w:t>
      </w:r>
      <w:r>
        <w:rPr>
          <w:rFonts w:hint="eastAsia" w:ascii="Times New Roman" w:hAnsi="Times New Roman" w:cs="Times New Roman"/>
          <w:szCs w:val="28"/>
        </w:rPr>
        <w:t>4</w:t>
      </w:r>
      <w:r>
        <w:rPr>
          <w:rFonts w:ascii="Times New Roman" w:hAnsi="Times New Roman" w:cs="Times New Roman"/>
          <w:szCs w:val="28"/>
        </w:rPr>
        <w:t>年，藁城全区总人口7</w:t>
      </w:r>
      <w:r>
        <w:rPr>
          <w:rFonts w:hint="eastAsia" w:ascii="Times New Roman" w:hAnsi="Times New Roman" w:cs="Times New Roman"/>
          <w:szCs w:val="28"/>
        </w:rPr>
        <w:t>7</w:t>
      </w:r>
      <w:r>
        <w:rPr>
          <w:rFonts w:ascii="Times New Roman" w:hAnsi="Times New Roman" w:cs="Times New Roman"/>
          <w:szCs w:val="28"/>
        </w:rPr>
        <w:t>.</w:t>
      </w:r>
      <w:r>
        <w:rPr>
          <w:rFonts w:hint="eastAsia" w:ascii="Times New Roman" w:hAnsi="Times New Roman" w:cs="Times New Roman"/>
          <w:szCs w:val="28"/>
        </w:rPr>
        <w:t>8</w:t>
      </w:r>
      <w:r>
        <w:rPr>
          <w:rFonts w:ascii="Times New Roman" w:hAnsi="Times New Roman" w:cs="Times New Roman"/>
          <w:szCs w:val="28"/>
        </w:rPr>
        <w:t>万人，国民生产总值完成</w:t>
      </w:r>
      <w:r>
        <w:rPr>
          <w:rFonts w:hint="eastAsia" w:ascii="Times New Roman" w:hAnsi="Times New Roman" w:cs="Times New Roman"/>
          <w:szCs w:val="28"/>
        </w:rPr>
        <w:t>530</w:t>
      </w:r>
      <w:r>
        <w:rPr>
          <w:rFonts w:ascii="Times New Roman" w:hAnsi="Times New Roman" w:cs="Times New Roman"/>
          <w:szCs w:val="28"/>
        </w:rPr>
        <w:t>.</w:t>
      </w:r>
      <w:r>
        <w:rPr>
          <w:rFonts w:hint="eastAsia" w:ascii="Times New Roman" w:hAnsi="Times New Roman" w:cs="Times New Roman"/>
          <w:szCs w:val="28"/>
        </w:rPr>
        <w:t>4</w:t>
      </w:r>
      <w:r>
        <w:rPr>
          <w:rFonts w:ascii="Times New Roman" w:hAnsi="Times New Roman" w:cs="Times New Roman"/>
          <w:szCs w:val="28"/>
        </w:rPr>
        <w:t>亿元，同比增长</w:t>
      </w:r>
      <w:r>
        <w:rPr>
          <w:rFonts w:hint="eastAsia" w:ascii="Times New Roman" w:hAnsi="Times New Roman" w:cs="Times New Roman"/>
          <w:szCs w:val="28"/>
        </w:rPr>
        <w:t>9.1</w:t>
      </w:r>
      <w:r>
        <w:rPr>
          <w:rFonts w:ascii="Times New Roman" w:hAnsi="Times New Roman" w:cs="Times New Roman"/>
          <w:szCs w:val="28"/>
        </w:rPr>
        <w:t>%；</w:t>
      </w:r>
      <w:r>
        <w:rPr>
          <w:rFonts w:hint="eastAsia" w:ascii="Times New Roman" w:hAnsi="Times New Roman" w:cs="Times New Roman"/>
          <w:szCs w:val="28"/>
        </w:rPr>
        <w:t>财政收入67.56亿元，同比增长14.4%；全社会固定资产投资226.5亿元，累计同比增长18.1%；</w:t>
      </w:r>
      <w:r>
        <w:rPr>
          <w:rFonts w:ascii="Times New Roman" w:hAnsi="Times New Roman" w:cs="Times New Roman"/>
          <w:szCs w:val="28"/>
        </w:rPr>
        <w:t>城镇居民可支配收入达到</w:t>
      </w:r>
      <w:r>
        <w:rPr>
          <w:rFonts w:hint="eastAsia" w:ascii="Times New Roman" w:hAnsi="Times New Roman" w:cs="Times New Roman"/>
          <w:szCs w:val="28"/>
        </w:rPr>
        <w:t>25985</w:t>
      </w:r>
      <w:r>
        <w:rPr>
          <w:rFonts w:ascii="Times New Roman" w:hAnsi="Times New Roman" w:cs="Times New Roman"/>
          <w:szCs w:val="28"/>
        </w:rPr>
        <w:t>元，农</w:t>
      </w:r>
      <w:r>
        <w:rPr>
          <w:rFonts w:hint="eastAsia" w:ascii="Times New Roman" w:hAnsi="Times New Roman" w:cs="Times New Roman"/>
          <w:szCs w:val="28"/>
        </w:rPr>
        <w:t>村居</w:t>
      </w:r>
      <w:r>
        <w:rPr>
          <w:rFonts w:ascii="Times New Roman" w:hAnsi="Times New Roman" w:cs="Times New Roman"/>
          <w:szCs w:val="28"/>
        </w:rPr>
        <w:t>民人均纯收入达到13</w:t>
      </w:r>
      <w:r>
        <w:rPr>
          <w:rFonts w:hint="eastAsia" w:ascii="Times New Roman" w:hAnsi="Times New Roman" w:cs="Times New Roman"/>
          <w:szCs w:val="28"/>
        </w:rPr>
        <w:t>951</w:t>
      </w:r>
      <w:r>
        <w:rPr>
          <w:rFonts w:ascii="Times New Roman" w:hAnsi="Times New Roman" w:cs="Times New Roman"/>
          <w:szCs w:val="28"/>
        </w:rPr>
        <w:t>元，</w:t>
      </w:r>
      <w:r>
        <w:rPr>
          <w:rFonts w:hint="eastAsia" w:ascii="Times New Roman" w:hAnsi="Times New Roman" w:cs="Times New Roman"/>
          <w:szCs w:val="28"/>
        </w:rPr>
        <w:t>累计同比</w:t>
      </w:r>
      <w:r>
        <w:rPr>
          <w:rFonts w:ascii="Times New Roman" w:hAnsi="Times New Roman" w:cs="Times New Roman"/>
          <w:szCs w:val="28"/>
        </w:rPr>
        <w:t>增长</w:t>
      </w:r>
      <w:r>
        <w:rPr>
          <w:rFonts w:hint="eastAsia" w:ascii="Times New Roman" w:hAnsi="Times New Roman" w:cs="Times New Roman"/>
          <w:szCs w:val="28"/>
        </w:rPr>
        <w:t>7.4</w:t>
      </w:r>
      <w:r>
        <w:rPr>
          <w:rFonts w:ascii="Times New Roman" w:hAnsi="Times New Roman" w:cs="Times New Roman"/>
          <w:szCs w:val="28"/>
        </w:rPr>
        <w:t>%和</w:t>
      </w:r>
      <w:r>
        <w:rPr>
          <w:rFonts w:hint="eastAsia" w:ascii="Times New Roman" w:hAnsi="Times New Roman" w:cs="Times New Roman"/>
          <w:szCs w:val="28"/>
        </w:rPr>
        <w:t>8.6</w:t>
      </w:r>
      <w:r>
        <w:rPr>
          <w:rFonts w:ascii="Times New Roman" w:hAnsi="Times New Roman" w:cs="Times New Roman"/>
          <w:szCs w:val="28"/>
        </w:rPr>
        <w:t>%。国民生产总值、</w:t>
      </w:r>
      <w:r>
        <w:rPr>
          <w:rFonts w:hint="eastAsia" w:ascii="Times New Roman" w:hAnsi="Times New Roman" w:cs="Times New Roman"/>
          <w:szCs w:val="28"/>
        </w:rPr>
        <w:t>财政收入</w:t>
      </w:r>
      <w:r>
        <w:rPr>
          <w:rFonts w:ascii="Times New Roman" w:hAnsi="Times New Roman" w:cs="Times New Roman"/>
          <w:szCs w:val="28"/>
        </w:rPr>
        <w:t>、</w:t>
      </w:r>
      <w:r>
        <w:rPr>
          <w:rFonts w:hint="eastAsia" w:ascii="Times New Roman" w:hAnsi="Times New Roman" w:cs="Times New Roman"/>
          <w:szCs w:val="28"/>
        </w:rPr>
        <w:t>全社会固定资产投资</w:t>
      </w:r>
      <w:r>
        <w:rPr>
          <w:rFonts w:ascii="Times New Roman" w:hAnsi="Times New Roman" w:cs="Times New Roman"/>
          <w:szCs w:val="28"/>
        </w:rPr>
        <w:t>等多项指标增速高于全市平均水平。全区经济呈现出速度加快、后劲增强的良好态势。</w:t>
      </w:r>
    </w:p>
    <w:p>
      <w:pPr>
        <w:ind w:firstLine="560"/>
        <w:rPr>
          <w:rFonts w:ascii="Times New Roman" w:hAnsi="Times New Roman" w:cs="Times New Roman"/>
          <w:szCs w:val="28"/>
        </w:rPr>
      </w:pPr>
      <w:r>
        <w:rPr>
          <w:rFonts w:ascii="Times New Roman" w:hAnsi="Times New Roman" w:cs="Times New Roman"/>
          <w:szCs w:val="28"/>
        </w:rPr>
        <w:t>规划实施过程中，藁城区城乡建设用地规模增加较快，至评估时点（201</w:t>
      </w:r>
      <w:r>
        <w:rPr>
          <w:rFonts w:hint="eastAsia" w:ascii="Times New Roman" w:hAnsi="Times New Roman" w:cs="Times New Roman"/>
          <w:szCs w:val="28"/>
        </w:rPr>
        <w:t>4</w:t>
      </w:r>
      <w:r>
        <w:rPr>
          <w:rFonts w:ascii="Times New Roman" w:hAnsi="Times New Roman" w:cs="Times New Roman"/>
          <w:szCs w:val="28"/>
        </w:rPr>
        <w:t>年），</w:t>
      </w:r>
      <w:r>
        <w:rPr>
          <w:rFonts w:hint="eastAsia" w:ascii="Times New Roman" w:hAnsi="Times New Roman" w:cs="Times New Roman"/>
          <w:szCs w:val="28"/>
        </w:rPr>
        <w:t>城乡建设用地</w:t>
      </w:r>
      <w:r>
        <w:rPr>
          <w:rFonts w:ascii="Times New Roman" w:hAnsi="Times New Roman" w:cs="Times New Roman"/>
          <w:szCs w:val="28"/>
        </w:rPr>
        <w:t>16</w:t>
      </w:r>
      <w:r>
        <w:rPr>
          <w:rFonts w:hint="eastAsia" w:ascii="Times New Roman" w:hAnsi="Times New Roman" w:cs="Times New Roman"/>
          <w:szCs w:val="28"/>
        </w:rPr>
        <w:t>143.38</w:t>
      </w:r>
      <w:r>
        <w:rPr>
          <w:rFonts w:ascii="Times New Roman" w:hAnsi="Times New Roman" w:cs="Times New Roman"/>
          <w:szCs w:val="28"/>
        </w:rPr>
        <w:t>公顷，接近规划期末</w:t>
      </w:r>
      <w:r>
        <w:rPr>
          <w:rFonts w:hint="eastAsia" w:ascii="Times New Roman" w:hAnsi="Times New Roman" w:cs="Times New Roman"/>
          <w:szCs w:val="28"/>
        </w:rPr>
        <w:t>的</w:t>
      </w:r>
      <w:r>
        <w:rPr>
          <w:rFonts w:ascii="Times New Roman" w:hAnsi="Times New Roman" w:cs="Times New Roman"/>
          <w:szCs w:val="28"/>
        </w:rPr>
        <w:t>控制指标16999.5公顷，剩余指标不足。</w:t>
      </w:r>
      <w:r>
        <w:rPr>
          <w:rFonts w:hint="eastAsia" w:ascii="Times New Roman" w:hAnsi="Times New Roman" w:cs="Times New Roman"/>
          <w:szCs w:val="28"/>
        </w:rPr>
        <w:t>2014年</w:t>
      </w:r>
      <w:r>
        <w:rPr>
          <w:rFonts w:ascii="Times New Roman" w:hAnsi="Times New Roman" w:cs="Times New Roman"/>
          <w:szCs w:val="28"/>
        </w:rPr>
        <w:t>城镇化率</w:t>
      </w:r>
      <w:r>
        <w:rPr>
          <w:rFonts w:hint="eastAsia" w:ascii="Times New Roman" w:hAnsi="Times New Roman" w:cs="Times New Roman"/>
          <w:szCs w:val="28"/>
        </w:rPr>
        <w:t>46.13</w:t>
      </w:r>
      <w:r>
        <w:rPr>
          <w:rFonts w:ascii="Times New Roman" w:hAnsi="Times New Roman" w:cs="Times New Roman"/>
          <w:szCs w:val="28"/>
        </w:rPr>
        <w:t>%，城乡建设规模的增加表现为藁城区城镇和工业的集中布局，人口虽然增长但外来人口增长更多，影响了藁城区城镇化的数值。同时，农村居民点整治和砖瓦窑复垦的缓慢进程制约规划目标的实现。</w:t>
      </w:r>
    </w:p>
    <w:p>
      <w:pPr>
        <w:ind w:firstLine="560"/>
        <w:rPr>
          <w:rFonts w:ascii="Times New Roman" w:hAnsi="Times New Roman" w:cs="Times New Roman"/>
          <w:szCs w:val="28"/>
        </w:rPr>
      </w:pPr>
      <w:r>
        <w:rPr>
          <w:rFonts w:ascii="Times New Roman" w:hAnsi="Times New Roman" w:cs="Times New Roman"/>
          <w:szCs w:val="28"/>
        </w:rPr>
        <w:t>城乡建设用地规模的增加必然为人口的集聚提供了条件和可能，工矿企业的集聚也会吸引更多人到城镇周围内落户，随着藁城区城镇建设及工业集中区的快速发展，全区城镇化水平和人口规模均会有较大幅度的增加。因此，目前的城乡建设用地规模控制指标已经不能适应经济社会发展的要求，需进行规划修改，增加藁城区的城乡建设用地规模目标，为藁城区的经济社会发展提供保障。</w:t>
      </w:r>
    </w:p>
    <w:p>
      <w:pPr>
        <w:pStyle w:val="4"/>
        <w:spacing w:before="190" w:after="190"/>
        <w:rPr>
          <w:rFonts w:ascii="Times New Roman" w:hAnsi="Times New Roman" w:cs="Times New Roman"/>
        </w:rPr>
      </w:pPr>
      <w:bookmarkStart w:id="18" w:name="_Toc423945528"/>
      <w:r>
        <w:rPr>
          <w:rFonts w:ascii="Times New Roman" w:hAnsi="Times New Roman" w:cs="Times New Roman"/>
        </w:rPr>
        <w:t>（二）用地潜力对经济增长保障性贡献性分析</w:t>
      </w:r>
      <w:bookmarkEnd w:id="18"/>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从补充耕地方面上，通过开发、整理、复垦补充了部分耕地，同时提高了耕地质量，对耕地保有量的目标完成及全区经济社会发展都起到重要作用。但从耕地补充实施的年度来看，整理复垦工作进展波动很大，全区耕地补充潜力越来越小，后期土地开发利用难度越来越大。从可持续发展的角度讲，今后藁城区经济社会的发展还是要依靠土地的节约、集约利用。从土地利用现状来看，可以挖掘的区域主要为农村居民点以及部分废弃工矿的复垦，工业用地的潜力主要是通过产业升级提高单位面积工业用地的产值来实现。</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因此，规划实施期间，全区应将主要精力投入到建设用地节约集约利用上，努力缩减农村建设用地，实现用地结构调整与布局优化，为城区及工业园区发展拓展新的空间。</w:t>
      </w:r>
    </w:p>
    <w:p>
      <w:pPr>
        <w:ind w:firstLine="560"/>
        <w:rPr>
          <w:rFonts w:ascii="Times New Roman" w:hAnsi="Times New Roman" w:cs="Times New Roman"/>
        </w:rPr>
      </w:pPr>
    </w:p>
    <w:p>
      <w:pPr>
        <w:widowControl/>
        <w:spacing w:line="240" w:lineRule="auto"/>
        <w:ind w:firstLine="0" w:firstLineChars="0"/>
        <w:jc w:val="left"/>
        <w:rPr>
          <w:rFonts w:ascii="Times New Roman" w:hAnsi="Times New Roman" w:eastAsia="黑体" w:cs="Times New Roman"/>
          <w:b/>
          <w:bCs/>
          <w:sz w:val="32"/>
          <w:szCs w:val="32"/>
        </w:rPr>
      </w:pPr>
      <w:r>
        <w:rPr>
          <w:rFonts w:ascii="Times New Roman" w:hAnsi="Times New Roman" w:cs="Times New Roman"/>
        </w:rPr>
        <w:br w:type="page"/>
      </w:r>
    </w:p>
    <w:p>
      <w:pPr>
        <w:pStyle w:val="3"/>
        <w:jc w:val="center"/>
        <w:rPr>
          <w:rFonts w:ascii="Times New Roman" w:hAnsi="Times New Roman" w:cs="Times New Roman"/>
        </w:rPr>
      </w:pPr>
      <w:bookmarkStart w:id="19" w:name="_Toc423945529"/>
      <w:r>
        <w:rPr>
          <w:rFonts w:ascii="Times New Roman" w:hAnsi="Times New Roman" w:cs="Times New Roman"/>
        </w:rPr>
        <w:t>五、规划实施效果与问题</w:t>
      </w:r>
      <w:bookmarkEnd w:id="19"/>
    </w:p>
    <w:p>
      <w:pPr>
        <w:pStyle w:val="4"/>
        <w:spacing w:before="190" w:after="190"/>
        <w:rPr>
          <w:rFonts w:ascii="Times New Roman" w:hAnsi="Times New Roman" w:cs="Times New Roman"/>
        </w:rPr>
      </w:pPr>
      <w:bookmarkStart w:id="20" w:name="_Toc423945530"/>
      <w:r>
        <w:rPr>
          <w:rFonts w:ascii="Times New Roman" w:hAnsi="Times New Roman" w:cs="Times New Roman"/>
        </w:rPr>
        <w:t>（一）实施成效</w:t>
      </w:r>
      <w:bookmarkEnd w:id="20"/>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bookmarkStart w:id="21" w:name="_Toc362957847"/>
      <w:bookmarkStart w:id="22" w:name="_Toc368335871"/>
      <w:r>
        <w:rPr>
          <w:rFonts w:ascii="Times New Roman" w:hAnsi="Times New Roman" w:eastAsia="仿宋_GB2312"/>
          <w:sz w:val="28"/>
          <w:szCs w:val="28"/>
        </w:rPr>
        <w:t>规划实施期间通过合理配置土地资源，促进了各行业之间、城乡之间协调发展。藁城区土地利用总体规划是在对藁城区土地利用现状及其特征进行综合研究，对今后土地利用目标进行科学预测的基础上，根据上级下达的各项规划指标，参照各部门用地规划及各乡镇土地利用规划概要，经多方协调后形成的，具有较强的可操作性。土地利用总体规划目标与经济发展目标相一致，土地利用的分目标充分保证了上级各项规划控制指标的落实，紧密结合了各行业经济发展要求，能基本满足城镇体系和各大产业对用地的需求。</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规划实施后，用地审批严格按照建设用地管制分区进行限制，在日常审批时，对不在允许建设区和有条件建设区内的选址用地除国家重点建设项目外，均不予批准，从而有效地改变了过去建设项目用地随意选址、分散布置的格局，对城镇建设的集中布置和工矿企业的集中用地起到了较好的控制作用。通过积极盘活存量土地和加强土地资产管理，藁城区土地产出水平逐步提高，在城镇用地规模不断扩大的同时，用地结构也不断得到优化</w:t>
      </w:r>
      <w:bookmarkEnd w:id="21"/>
      <w:bookmarkEnd w:id="22"/>
      <w:r>
        <w:rPr>
          <w:rFonts w:ascii="Times New Roman" w:hAnsi="Times New Roman" w:eastAsia="仿宋_GB2312"/>
          <w:sz w:val="28"/>
          <w:szCs w:val="28"/>
        </w:rPr>
        <w:t>，取得了较好的社会、经济和生态效益。</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bookmarkStart w:id="23" w:name="_Toc362957849"/>
      <w:r>
        <w:rPr>
          <w:rFonts w:ascii="Times New Roman" w:hAnsi="Times New Roman" w:eastAsia="仿宋_GB2312"/>
          <w:sz w:val="28"/>
          <w:szCs w:val="28"/>
        </w:rPr>
        <w:t>1、社会效益</w:t>
      </w:r>
    </w:p>
    <w:bookmarkEnd w:id="23"/>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藁城区规划实施期间均优先、合理安排了基础设施用地，保证了重点建设项目的顺利实施，为藁城区经济社会的发展奠定了良好的基础。截止到201</w:t>
      </w:r>
      <w:r>
        <w:rPr>
          <w:rFonts w:hint="eastAsia" w:ascii="Times New Roman" w:hAnsi="Times New Roman" w:eastAsia="仿宋_GB2312"/>
          <w:sz w:val="28"/>
          <w:szCs w:val="28"/>
        </w:rPr>
        <w:t>4</w:t>
      </w:r>
      <w:r>
        <w:rPr>
          <w:rFonts w:ascii="Times New Roman" w:hAnsi="Times New Roman" w:eastAsia="仿宋_GB2312"/>
          <w:sz w:val="28"/>
          <w:szCs w:val="28"/>
        </w:rPr>
        <w:t>年底，全区公路里程13</w:t>
      </w:r>
      <w:r>
        <w:rPr>
          <w:rFonts w:hint="eastAsia" w:ascii="Times New Roman" w:hAnsi="Times New Roman" w:eastAsia="仿宋_GB2312"/>
          <w:sz w:val="28"/>
          <w:szCs w:val="28"/>
        </w:rPr>
        <w:t>47.3</w:t>
      </w:r>
      <w:r>
        <w:rPr>
          <w:rFonts w:ascii="Times New Roman" w:hAnsi="Times New Roman" w:eastAsia="仿宋_GB2312"/>
          <w:sz w:val="28"/>
          <w:szCs w:val="28"/>
        </w:rPr>
        <w:t>公里，乡村通行条件明显改善，随着工业园和新农村建设，基础设施条件大为改善，用地布局得到进一步优化调整。</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通过现行规划的实施，加快了城乡的一体化发展。以统筹推进城乡经济社会发展为导向，坚持城镇化与新农村建设双轮驱动，走以工促农、以城带乡、城乡互动的发展之路，把中心城区、小城镇、新民居作为三个关键节点，推动了规划建设、产业布局、基础设施、生态保护和公共服务一体化，构建了城乡协调发展的新格局。</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通过现行规划的实施，推进现代产业体系构建。藁城区把转变发展方式贯穿于经济社会发展全过程和各领域，围绕加快发展、加速转型、加力跨越三大战略取向，有效推动了全区经济社会的全面发展，城镇化、工业化进程显著加</w:t>
      </w:r>
      <w:r>
        <w:rPr>
          <w:rFonts w:hint="eastAsia" w:ascii="Times New Roman" w:hAnsi="Times New Roman" w:eastAsia="仿宋_GB2312"/>
          <w:sz w:val="28"/>
          <w:szCs w:val="28"/>
        </w:rPr>
        <w:t>快</w:t>
      </w:r>
      <w:r>
        <w:rPr>
          <w:rFonts w:ascii="Times New Roman" w:hAnsi="Times New Roman" w:eastAsia="仿宋_GB2312"/>
          <w:sz w:val="28"/>
          <w:szCs w:val="28"/>
        </w:rPr>
        <w:t>。</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2、经济效益</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藁城区规划实施期间，有效防止了低水平、重复建设，有效防止了土地利用的外部不经济性，节约和集约利用了土地，提高了土地利用效益，为国民经济的发展提供了有力的用地保障，促进了国民经济和社会事业的持续快速协调发展。</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201</w:t>
      </w:r>
      <w:r>
        <w:rPr>
          <w:rFonts w:hint="eastAsia" w:ascii="Times New Roman" w:hAnsi="Times New Roman" w:eastAsia="仿宋_GB2312"/>
          <w:sz w:val="28"/>
          <w:szCs w:val="28"/>
        </w:rPr>
        <w:t>4</w:t>
      </w:r>
      <w:r>
        <w:rPr>
          <w:rFonts w:ascii="Times New Roman" w:hAnsi="Times New Roman" w:eastAsia="仿宋_GB2312"/>
          <w:sz w:val="28"/>
          <w:szCs w:val="28"/>
        </w:rPr>
        <w:t>年，全区生产总值、全社会固定资产投资、社会消费品零售总额、城乡居民储蓄余额、农村居民人均纯收入、城镇居民可支配收入分别增长</w:t>
      </w:r>
      <w:r>
        <w:rPr>
          <w:rFonts w:hint="eastAsia" w:ascii="Times New Roman" w:hAnsi="Times New Roman" w:eastAsia="仿宋_GB2312"/>
          <w:sz w:val="28"/>
          <w:szCs w:val="28"/>
        </w:rPr>
        <w:t>9.1</w:t>
      </w:r>
      <w:r>
        <w:rPr>
          <w:rFonts w:ascii="Times New Roman" w:hAnsi="Times New Roman" w:eastAsia="仿宋_GB2312"/>
          <w:sz w:val="28"/>
          <w:szCs w:val="28"/>
        </w:rPr>
        <w:t>%、</w:t>
      </w:r>
      <w:r>
        <w:rPr>
          <w:rFonts w:hint="eastAsia" w:ascii="Times New Roman" w:hAnsi="Times New Roman" w:eastAsia="仿宋_GB2312"/>
          <w:sz w:val="28"/>
          <w:szCs w:val="28"/>
        </w:rPr>
        <w:t>18.1</w:t>
      </w:r>
      <w:r>
        <w:rPr>
          <w:rFonts w:ascii="Times New Roman" w:hAnsi="Times New Roman" w:eastAsia="仿宋_GB2312"/>
          <w:sz w:val="28"/>
          <w:szCs w:val="28"/>
        </w:rPr>
        <w:t>%、</w:t>
      </w:r>
      <w:r>
        <w:rPr>
          <w:rFonts w:hint="eastAsia" w:ascii="Times New Roman" w:hAnsi="Times New Roman" w:eastAsia="仿宋_GB2312"/>
          <w:sz w:val="28"/>
          <w:szCs w:val="28"/>
        </w:rPr>
        <w:t>12.4</w:t>
      </w:r>
      <w:r>
        <w:rPr>
          <w:rFonts w:ascii="Times New Roman" w:hAnsi="Times New Roman" w:eastAsia="仿宋_GB2312"/>
          <w:sz w:val="28"/>
          <w:szCs w:val="28"/>
        </w:rPr>
        <w:t>%、</w:t>
      </w:r>
      <w:r>
        <w:rPr>
          <w:rFonts w:hint="eastAsia" w:ascii="Times New Roman" w:hAnsi="Times New Roman" w:eastAsia="仿宋_GB2312"/>
          <w:sz w:val="28"/>
          <w:szCs w:val="28"/>
        </w:rPr>
        <w:t>11.3</w:t>
      </w:r>
      <w:r>
        <w:rPr>
          <w:rFonts w:ascii="Times New Roman" w:hAnsi="Times New Roman" w:eastAsia="仿宋_GB2312"/>
          <w:sz w:val="28"/>
          <w:szCs w:val="28"/>
        </w:rPr>
        <w:t>%、</w:t>
      </w:r>
      <w:r>
        <w:rPr>
          <w:rFonts w:hint="eastAsia" w:ascii="Times New Roman" w:hAnsi="Times New Roman" w:eastAsia="仿宋_GB2312"/>
          <w:sz w:val="28"/>
          <w:szCs w:val="28"/>
        </w:rPr>
        <w:t>8.6</w:t>
      </w:r>
      <w:r>
        <w:rPr>
          <w:rFonts w:ascii="Times New Roman" w:hAnsi="Times New Roman" w:eastAsia="仿宋_GB2312"/>
          <w:sz w:val="28"/>
          <w:szCs w:val="28"/>
        </w:rPr>
        <w:t>%和</w:t>
      </w:r>
      <w:r>
        <w:rPr>
          <w:rFonts w:hint="eastAsia" w:ascii="Times New Roman" w:hAnsi="Times New Roman" w:eastAsia="仿宋_GB2312"/>
          <w:sz w:val="28"/>
          <w:szCs w:val="28"/>
        </w:rPr>
        <w:t>7</w:t>
      </w:r>
      <w:r>
        <w:rPr>
          <w:rFonts w:ascii="Times New Roman" w:hAnsi="Times New Roman" w:eastAsia="仿宋_GB2312"/>
          <w:sz w:val="28"/>
          <w:szCs w:val="28"/>
        </w:rPr>
        <w:t>.4%，均呈现较快增长势头，土地利用的经济效益明显。</w:t>
      </w:r>
    </w:p>
    <w:p>
      <w:pPr>
        <w:ind w:firstLine="560"/>
        <w:rPr>
          <w:rFonts w:ascii="Times New Roman" w:hAnsi="Times New Roman" w:cs="Times New Roman"/>
        </w:rPr>
      </w:pPr>
      <w:r>
        <w:rPr>
          <w:rFonts w:ascii="Times New Roman" w:hAnsi="Times New Roman" w:cs="Times New Roman"/>
          <w:szCs w:val="28"/>
        </w:rPr>
        <w:t>该区按照“布局集中、产业集聚、用地节约”原则</w:t>
      </w:r>
      <w:r>
        <w:rPr>
          <w:rFonts w:ascii="Times New Roman" w:hAnsi="Times New Roman" w:cs="Times New Roman"/>
        </w:rPr>
        <w:t>，</w:t>
      </w:r>
      <w:r>
        <w:rPr>
          <w:rFonts w:ascii="Times New Roman" w:hAnsi="Times New Roman" w:cs="Times New Roman"/>
          <w:szCs w:val="28"/>
        </w:rPr>
        <w:t>先后吸引了益海粮油、可口可乐、青岛啤酒、中电投、中粮、河冶科技、华药、石药等60余家世界五百强、中外合资等规模企业入驻，全区已逐步形成生物医药、循环化工、装备制造三大产业强力支撑，食品加工、纺织服装、板材家具等特色产业竞相发展的良好局面。</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3、生态效益</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通过现行规划的实施，对土地进行有效的保护和整治，通过调整用地结构和布局，对土地进行合理的开发利用，优先保护具有重要生态功能的林地、草地，重点开展滹沱河治理工程，有效控制了环境恶化程度，取得了较好的生态效益。</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加大了对“三废”的治理力度，严格控制污染源，减轻对土地的污染程度，强化工业污染整治；加快了老企业技术改造升级换代，严格环境准入制度，控制新污染源，大力发展循环经济，推行清洁生产，优化产业布局，调整产业结构；坚定有序淘汰落后产能，提高企业节能环保水平，全区生态环境得到了较大的改善。</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规划实施期间，通过构筑生态农林体系，加快发展绿色产业；构筑生态工业、生态科技培育体系，搭建循环经济平台；构筑城镇环境污染防治体系，提高生态环境质量。从而使自然资源和环境资源得到合理的开发和利用，生态型农业建设和生态型工业发展初具规模，水资源得到有效保护和利用，生态环境得到改善，促成地方经济发展和社会进步。</w:t>
      </w:r>
    </w:p>
    <w:p>
      <w:pPr>
        <w:pStyle w:val="4"/>
        <w:spacing w:before="190" w:after="190"/>
        <w:rPr>
          <w:rFonts w:ascii="Times New Roman" w:hAnsi="Times New Roman" w:cs="Times New Roman"/>
        </w:rPr>
      </w:pPr>
      <w:bookmarkStart w:id="24" w:name="_Toc423945531"/>
      <w:bookmarkStart w:id="25" w:name="_Toc387999371"/>
      <w:r>
        <w:rPr>
          <w:rFonts w:ascii="Times New Roman" w:hAnsi="Times New Roman" w:cs="Times New Roman"/>
        </w:rPr>
        <w:t>（二）存在问题</w:t>
      </w:r>
      <w:bookmarkEnd w:id="24"/>
      <w:bookmarkEnd w:id="25"/>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1、建设用地规模不足</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规划实施期间，土地</w:t>
      </w:r>
      <w:r>
        <w:rPr>
          <w:rFonts w:hint="eastAsia" w:ascii="Times New Roman" w:hAnsi="Times New Roman" w:eastAsia="仿宋_GB2312"/>
          <w:sz w:val="28"/>
          <w:szCs w:val="28"/>
        </w:rPr>
        <w:t>利用总体</w:t>
      </w:r>
      <w:r>
        <w:rPr>
          <w:rFonts w:ascii="Times New Roman" w:hAnsi="Times New Roman" w:eastAsia="仿宋_GB2312"/>
          <w:sz w:val="28"/>
          <w:szCs w:val="28"/>
        </w:rPr>
        <w:t>规划的综合效益明显，但是部分规划指标实施情况不佳，尤其是建设用地总规模、城乡建设用地规模等指标已接近2020年控制规模，未来发展空间小，无法满足经济社会发展对土地的需求，制约了藁城区经济的发展。</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2、耕地后备资源不足</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规划实施期间，虽然藁城区有序推进土地整治工作，加大</w:t>
      </w:r>
      <w:r>
        <w:rPr>
          <w:rFonts w:hint="eastAsia" w:ascii="Times New Roman" w:hAnsi="Times New Roman" w:eastAsia="仿宋_GB2312"/>
          <w:sz w:val="28"/>
          <w:szCs w:val="28"/>
        </w:rPr>
        <w:t>永久</w:t>
      </w:r>
      <w:r>
        <w:rPr>
          <w:rFonts w:ascii="Times New Roman" w:hAnsi="Times New Roman" w:eastAsia="仿宋_GB2312"/>
          <w:sz w:val="28"/>
          <w:szCs w:val="28"/>
        </w:rPr>
        <w:t>基本农田建设，但随着经济社会的发展，特别是城镇化工业化进程的加快，在经济发展过程中不可避免的占用部分耕地，土地利用程度较高，耕地后备土地资源相对较少，且土地开发难度较大，伴随着“十二五”期间各业各类用地的增加，耕地保护压力剧增。</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3、土地复垦难度大</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r>
        <w:rPr>
          <w:rFonts w:ascii="Times New Roman" w:hAnsi="Times New Roman" w:eastAsia="仿宋_GB2312"/>
          <w:sz w:val="28"/>
          <w:szCs w:val="28"/>
        </w:rPr>
        <w:t>规划实施期间，藁城区城镇建设及工业企业布局均趋于集中，但土地节约集约利用程度不高，主要是农村居民点分布较为分散，农村居民点和废弃工矿用地复垦难度大。</w:t>
      </w:r>
    </w:p>
    <w:p>
      <w:pPr>
        <w:pStyle w:val="13"/>
        <w:tabs>
          <w:tab w:val="left" w:pos="3045"/>
        </w:tabs>
        <w:spacing w:after="0" w:line="360" w:lineRule="auto"/>
        <w:ind w:left="0" w:leftChars="0" w:firstLine="560" w:firstLineChars="200"/>
        <w:jc w:val="left"/>
        <w:outlineLvl w:val="3"/>
        <w:rPr>
          <w:rFonts w:ascii="Times New Roman" w:hAnsi="Times New Roman" w:eastAsia="仿宋_GB2312"/>
          <w:sz w:val="28"/>
          <w:szCs w:val="28"/>
        </w:rPr>
      </w:pPr>
    </w:p>
    <w:p>
      <w:pPr>
        <w:widowControl/>
        <w:spacing w:line="240" w:lineRule="auto"/>
        <w:ind w:firstLine="0" w:firstLineChars="0"/>
        <w:jc w:val="left"/>
        <w:rPr>
          <w:rFonts w:ascii="Times New Roman" w:hAnsi="Times New Roman" w:eastAsia="黑体" w:cs="Times New Roman"/>
          <w:b/>
          <w:bCs/>
          <w:sz w:val="32"/>
          <w:szCs w:val="32"/>
        </w:rPr>
      </w:pPr>
      <w:r>
        <w:rPr>
          <w:rFonts w:ascii="Times New Roman" w:hAnsi="Times New Roman" w:cs="Times New Roman"/>
        </w:rPr>
        <w:br w:type="page"/>
      </w:r>
    </w:p>
    <w:p>
      <w:pPr>
        <w:pStyle w:val="3"/>
        <w:jc w:val="center"/>
        <w:rPr>
          <w:rFonts w:ascii="Times New Roman" w:hAnsi="Times New Roman" w:cs="Times New Roman"/>
        </w:rPr>
      </w:pPr>
      <w:bookmarkStart w:id="26" w:name="_Toc423945532"/>
      <w:r>
        <w:rPr>
          <w:rFonts w:ascii="Times New Roman" w:hAnsi="Times New Roman" w:cs="Times New Roman"/>
        </w:rPr>
        <w:t>六、评估结论及建议</w:t>
      </w:r>
      <w:bookmarkEnd w:id="26"/>
    </w:p>
    <w:p>
      <w:pPr>
        <w:pStyle w:val="4"/>
        <w:spacing w:before="190" w:after="190"/>
        <w:rPr>
          <w:rFonts w:ascii="Times New Roman" w:hAnsi="Times New Roman" w:cs="Times New Roman"/>
        </w:rPr>
      </w:pPr>
      <w:bookmarkStart w:id="27" w:name="_Toc423945533"/>
      <w:r>
        <w:rPr>
          <w:rFonts w:ascii="Times New Roman" w:hAnsi="Times New Roman" w:cs="Times New Roman"/>
        </w:rPr>
        <w:t>（一）土地</w:t>
      </w:r>
      <w:r>
        <w:rPr>
          <w:rFonts w:hint="eastAsia" w:ascii="Times New Roman" w:hAnsi="Times New Roman" w:cs="Times New Roman"/>
        </w:rPr>
        <w:t>利用总体</w:t>
      </w:r>
      <w:r>
        <w:rPr>
          <w:rFonts w:ascii="Times New Roman" w:hAnsi="Times New Roman" w:cs="Times New Roman"/>
        </w:rPr>
        <w:t>规划实施评估结论</w:t>
      </w:r>
      <w:bookmarkEnd w:id="27"/>
    </w:p>
    <w:p>
      <w:pPr>
        <w:ind w:firstLine="560"/>
        <w:rPr>
          <w:rFonts w:ascii="Times New Roman" w:hAnsi="Times New Roman" w:cs="Times New Roman"/>
          <w:szCs w:val="28"/>
        </w:rPr>
      </w:pPr>
      <w:r>
        <w:rPr>
          <w:rFonts w:ascii="Times New Roman" w:hAnsi="Times New Roman" w:cs="Times New Roman"/>
          <w:szCs w:val="28"/>
        </w:rPr>
        <w:t>自现行土地</w:t>
      </w:r>
      <w:r>
        <w:rPr>
          <w:rFonts w:hint="eastAsia" w:ascii="Times New Roman" w:hAnsi="Times New Roman" w:cs="Times New Roman"/>
          <w:szCs w:val="28"/>
        </w:rPr>
        <w:t>利用总体</w:t>
      </w:r>
      <w:r>
        <w:rPr>
          <w:rFonts w:ascii="Times New Roman" w:hAnsi="Times New Roman" w:cs="Times New Roman"/>
          <w:szCs w:val="28"/>
        </w:rPr>
        <w:t>规划实施以来，全区经济社会各项事业发展良好，在落实耕地和基本农田保护任务上，保障了耕地和基本农田质量，全区主要建设用地指标控制在现行规划目标内，生态环境质量良好。但从长远来看，在今后一个时期内，随着藁城区经济区位的提升，全区经济将有新的发展变化，总体规划需要进行调整，以适应快速发展的经济形势。</w:t>
      </w:r>
    </w:p>
    <w:p>
      <w:pPr>
        <w:ind w:firstLine="560"/>
        <w:jc w:val="left"/>
        <w:rPr>
          <w:rFonts w:ascii="Times New Roman" w:hAnsi="Times New Roman" w:cs="Times New Roman"/>
          <w:szCs w:val="28"/>
        </w:rPr>
      </w:pPr>
      <w:r>
        <w:rPr>
          <w:rFonts w:ascii="Times New Roman" w:hAnsi="Times New Roman" w:cs="Times New Roman"/>
          <w:szCs w:val="28"/>
        </w:rPr>
        <w:t>通过对现行土地利用总体规划定性和定量的评估，得出以下结论：</w:t>
      </w:r>
    </w:p>
    <w:p>
      <w:pPr>
        <w:ind w:firstLine="560"/>
        <w:rPr>
          <w:rFonts w:ascii="Times New Roman" w:hAnsi="Times New Roman" w:cs="Times New Roman"/>
          <w:szCs w:val="28"/>
        </w:rPr>
      </w:pPr>
      <w:r>
        <w:rPr>
          <w:rFonts w:ascii="Times New Roman" w:hAnsi="Times New Roman" w:cs="Times New Roman"/>
          <w:szCs w:val="28"/>
        </w:rPr>
        <w:t>1、经定性评估认为：土地利用总体规划促进了基本农田保护；实现了耕地占补平衡；保障了部分重点建设用地，促进了经济快速发展；加大了建设用地整治，提高了建设用地集约度；有序推动了土地整理，提高了农用地质量。新一轮土地利用总体规划的实施对藁城区经济社会发展、生态环境保护改善均起到了有力的推动作用。但与此同时，规划实施以来，</w:t>
      </w:r>
      <w:r>
        <w:rPr>
          <w:rFonts w:hint="eastAsia" w:ascii="Times New Roman" w:hAnsi="Times New Roman" w:cs="Times New Roman"/>
          <w:szCs w:val="28"/>
        </w:rPr>
        <w:t>藁城撤县设区，</w:t>
      </w:r>
      <w:r>
        <w:rPr>
          <w:rFonts w:ascii="Times New Roman" w:hAnsi="Times New Roman" w:cs="Times New Roman"/>
          <w:szCs w:val="28"/>
        </w:rPr>
        <w:t>经济区位</w:t>
      </w:r>
      <w:r>
        <w:rPr>
          <w:rFonts w:hint="eastAsia" w:ascii="Times New Roman" w:hAnsi="Times New Roman" w:cs="Times New Roman"/>
          <w:szCs w:val="28"/>
        </w:rPr>
        <w:t>进一步</w:t>
      </w:r>
      <w:r>
        <w:rPr>
          <w:rFonts w:ascii="Times New Roman" w:hAnsi="Times New Roman" w:cs="Times New Roman"/>
          <w:szCs w:val="28"/>
        </w:rPr>
        <w:t>提升，藁城区在新的形势下有了新的发展机遇，使得现有土地利用空间布局与新的用地需求产生了一定的不协调。</w:t>
      </w:r>
    </w:p>
    <w:p>
      <w:pPr>
        <w:ind w:firstLine="560"/>
        <w:rPr>
          <w:rFonts w:ascii="Times New Roman" w:hAnsi="Times New Roman" w:cs="Times New Roman"/>
          <w:szCs w:val="28"/>
        </w:rPr>
      </w:pPr>
      <w:r>
        <w:rPr>
          <w:rFonts w:ascii="Times New Roman" w:hAnsi="Times New Roman" w:cs="Times New Roman"/>
          <w:szCs w:val="28"/>
        </w:rPr>
        <w:t>2、定量评估结果结论：藁城区土地</w:t>
      </w:r>
      <w:r>
        <w:rPr>
          <w:rFonts w:hint="eastAsia" w:ascii="Times New Roman" w:hAnsi="Times New Roman" w:cs="Times New Roman"/>
          <w:szCs w:val="28"/>
        </w:rPr>
        <w:t>利用总体</w:t>
      </w:r>
      <w:r>
        <w:rPr>
          <w:rFonts w:ascii="Times New Roman" w:hAnsi="Times New Roman" w:cs="Times New Roman"/>
          <w:szCs w:val="28"/>
        </w:rPr>
        <w:t>规划执行的评估结果良好，各项指标任务满足要求或与预期基本一致，规划执行效果良好，土地效益和土地利用程度有所提高。其中，用地结构与布局情况、规划实施情况以及规划与经济社会发展匹配度均处于优秀水平；规划的主要指标实施情况和用地节约集约程度完成良好</w:t>
      </w:r>
      <w:r>
        <w:rPr>
          <w:rFonts w:hint="eastAsia" w:ascii="Times New Roman" w:hAnsi="Times New Roman" w:cs="Times New Roman"/>
          <w:szCs w:val="28"/>
        </w:rPr>
        <w:t>；</w:t>
      </w:r>
      <w:r>
        <w:rPr>
          <w:rFonts w:ascii="Times New Roman" w:hAnsi="Times New Roman" w:cs="Times New Roman"/>
          <w:szCs w:val="28"/>
        </w:rPr>
        <w:t>但是，藁城区的农村居民点复垦工作难度大、推进慢，城乡建设用地指标不足</w:t>
      </w:r>
      <w:r>
        <w:rPr>
          <w:rFonts w:hint="eastAsia" w:ascii="Times New Roman" w:hAnsi="Times New Roman" w:cs="Times New Roman"/>
          <w:szCs w:val="28"/>
        </w:rPr>
        <w:t>；</w:t>
      </w:r>
      <w:r>
        <w:rPr>
          <w:rFonts w:ascii="Times New Roman" w:hAnsi="Times New Roman" w:cs="Times New Roman"/>
          <w:szCs w:val="28"/>
        </w:rPr>
        <w:t>耕地面积大，后备土地资源少。</w:t>
      </w:r>
    </w:p>
    <w:p>
      <w:pPr>
        <w:pStyle w:val="38"/>
        <w:spacing w:line="360" w:lineRule="auto"/>
        <w:ind w:firstLine="560" w:firstLineChars="200"/>
        <w:jc w:val="both"/>
        <w:rPr>
          <w:rFonts w:eastAsia="仿宋_GB2312"/>
          <w:sz w:val="28"/>
          <w:szCs w:val="28"/>
        </w:rPr>
      </w:pPr>
      <w:r>
        <w:rPr>
          <w:rFonts w:eastAsia="仿宋_GB2312"/>
          <w:sz w:val="28"/>
          <w:szCs w:val="28"/>
        </w:rPr>
        <w:t>藁城区土地利用总体规划批准实施以来，</w:t>
      </w:r>
      <w:r>
        <w:rPr>
          <w:rFonts w:hint="eastAsia" w:eastAsia="仿宋_GB2312"/>
          <w:sz w:val="28"/>
          <w:szCs w:val="28"/>
        </w:rPr>
        <w:t>剩余</w:t>
      </w:r>
      <w:r>
        <w:rPr>
          <w:rFonts w:eastAsia="仿宋_GB2312"/>
          <w:sz w:val="28"/>
          <w:szCs w:val="28"/>
        </w:rPr>
        <w:t>建设用地规模不足，部分特殊项目难以在现行规划范围内选址，不利于今后的规划实施，因此，需要对现行规划修改调整。</w:t>
      </w:r>
    </w:p>
    <w:p>
      <w:pPr>
        <w:pStyle w:val="4"/>
        <w:spacing w:before="190" w:after="190"/>
        <w:rPr>
          <w:rFonts w:ascii="Times New Roman" w:hAnsi="Times New Roman" w:eastAsia="仿宋_GB2312" w:cs="Times New Roman"/>
        </w:rPr>
      </w:pPr>
      <w:bookmarkStart w:id="28" w:name="_Toc423945534"/>
      <w:r>
        <w:rPr>
          <w:rFonts w:ascii="Times New Roman" w:hAnsi="Times New Roman" w:cs="Times New Roman"/>
        </w:rPr>
        <w:t>（二）相关建议</w:t>
      </w:r>
      <w:bookmarkEnd w:id="28"/>
    </w:p>
    <w:p>
      <w:pPr>
        <w:ind w:firstLine="560"/>
        <w:rPr>
          <w:rFonts w:ascii="Times New Roman" w:hAnsi="Times New Roman" w:cs="Times New Roman"/>
          <w:szCs w:val="28"/>
        </w:rPr>
      </w:pPr>
      <w:r>
        <w:rPr>
          <w:rFonts w:ascii="Times New Roman" w:hAnsi="Times New Roman" w:cs="Times New Roman"/>
          <w:szCs w:val="28"/>
        </w:rPr>
        <w:t>1、开展藁城区土地利用总体规划修编调整</w:t>
      </w:r>
    </w:p>
    <w:p>
      <w:pPr>
        <w:ind w:firstLine="560"/>
        <w:rPr>
          <w:rFonts w:ascii="Times New Roman" w:hAnsi="Times New Roman" w:cs="Times New Roman"/>
          <w:szCs w:val="28"/>
        </w:rPr>
      </w:pPr>
      <w:r>
        <w:rPr>
          <w:rFonts w:ascii="Times New Roman" w:hAnsi="Times New Roman" w:cs="Times New Roman"/>
          <w:szCs w:val="28"/>
        </w:rPr>
        <w:t>为适应藁城区经济社会发展的新形势，解决规划实施过程中出现的用地矛盾和突出问题，建议按照国土资源部有关要求，在藁城区土地利用总体规划实施评估的基础上，根据藁城区未来发展的客观要求，适时启动藁城区土地利用总体规划修改</w:t>
      </w:r>
      <w:r>
        <w:rPr>
          <w:rFonts w:hint="eastAsia" w:ascii="Times New Roman" w:hAnsi="Times New Roman" w:cs="Times New Roman"/>
          <w:szCs w:val="28"/>
        </w:rPr>
        <w:t>调整工作。</w:t>
      </w:r>
    </w:p>
    <w:p>
      <w:pPr>
        <w:ind w:firstLine="560"/>
        <w:rPr>
          <w:rFonts w:ascii="Times New Roman" w:hAnsi="Times New Roman" w:cs="Times New Roman"/>
          <w:szCs w:val="28"/>
        </w:rPr>
      </w:pPr>
      <w:r>
        <w:rPr>
          <w:rFonts w:hint="eastAsia" w:ascii="Times New Roman" w:hAnsi="Times New Roman" w:cs="Times New Roman"/>
          <w:szCs w:val="28"/>
        </w:rPr>
        <w:t>2、建议追加建设用地规模</w:t>
      </w:r>
    </w:p>
    <w:p>
      <w:pPr>
        <w:ind w:firstLine="560"/>
        <w:rPr>
          <w:rFonts w:ascii="Times New Roman" w:hAnsi="Times New Roman" w:cs="Times New Roman"/>
          <w:szCs w:val="28"/>
        </w:rPr>
      </w:pPr>
      <w:r>
        <w:rPr>
          <w:rFonts w:hint="eastAsia" w:ascii="Times New Roman" w:hAnsi="Times New Roman" w:cs="Times New Roman"/>
          <w:szCs w:val="28"/>
        </w:rPr>
        <w:t>虽然藁城区土地利用总体规划在执行中得到正确的贯彻实施，土地规划目标和管理措施顺利推进。但是，随着藁城撤县设区，经济区位进一步提升，</w:t>
      </w:r>
      <w:r>
        <w:rPr>
          <w:rFonts w:ascii="Times New Roman" w:hAnsi="Times New Roman" w:cs="Times New Roman"/>
          <w:szCs w:val="28"/>
        </w:rPr>
        <w:t>土地</w:t>
      </w:r>
      <w:r>
        <w:rPr>
          <w:rFonts w:hint="eastAsia" w:ascii="Times New Roman" w:hAnsi="Times New Roman" w:cs="Times New Roman"/>
          <w:szCs w:val="28"/>
        </w:rPr>
        <w:t>利用总体</w:t>
      </w:r>
      <w:r>
        <w:rPr>
          <w:rFonts w:ascii="Times New Roman" w:hAnsi="Times New Roman" w:cs="Times New Roman"/>
          <w:szCs w:val="28"/>
        </w:rPr>
        <w:t>规划与经济社会发展</w:t>
      </w:r>
      <w:r>
        <w:rPr>
          <w:rFonts w:hint="eastAsia" w:ascii="Times New Roman" w:hAnsi="Times New Roman" w:cs="Times New Roman"/>
          <w:szCs w:val="28"/>
        </w:rPr>
        <w:t>需求不协调，以现行的藁城区土地利用总体规划各项指标及用地布局，继续执行规划将对藁城区未来经济社会的发展产生严重束缚，将导致经济社会发展趋势与规划目标产生巨大偏离。</w:t>
      </w:r>
    </w:p>
    <w:p>
      <w:pPr>
        <w:ind w:firstLine="560"/>
        <w:rPr>
          <w:rFonts w:ascii="Times New Roman" w:hAnsi="Times New Roman" w:cs="Times New Roman"/>
          <w:szCs w:val="28"/>
        </w:rPr>
      </w:pPr>
      <w:r>
        <w:rPr>
          <w:rFonts w:hint="eastAsia" w:ascii="Times New Roman" w:hAnsi="Times New Roman" w:cs="Times New Roman"/>
          <w:szCs w:val="28"/>
        </w:rPr>
        <w:t>因此，为适应藁城区经济社会发展的新形势，必须对《规划》进行修编，调整用地布局。在现有新增建设占耕地规模、城乡建设用地规模、交通水利用地规模等指标均不能满足藁城区经济社会发展的现状下，建议上级部门同意藁城区对《藁城区土地利用总体规划（2010~2020）》进行修改，并追加新增建设占用耕地规模、城乡建设用地规模和交通水利用地规模，核减耕地保有量和基本农田规模，</w:t>
      </w:r>
      <w:r>
        <w:rPr>
          <w:rFonts w:ascii="Times New Roman" w:hAnsi="Times New Roman" w:cs="Times New Roman"/>
          <w:szCs w:val="28"/>
        </w:rPr>
        <w:t>调整各项规划用地布置和空间管制分区范围，为藁城区未来经济社会发展提供更有力的用地保障。</w:t>
      </w:r>
    </w:p>
    <w:p>
      <w:pPr>
        <w:ind w:firstLine="560"/>
        <w:rPr>
          <w:rFonts w:ascii="Times New Roman" w:hAnsi="Times New Roman" w:cs="Times New Roman"/>
          <w:szCs w:val="28"/>
        </w:rPr>
      </w:pPr>
      <w:r>
        <w:rPr>
          <w:rFonts w:ascii="Times New Roman" w:hAnsi="Times New Roman" w:cs="Times New Roman"/>
          <w:szCs w:val="28"/>
        </w:rPr>
        <w:t>3、拓宽用地渠道，保障经济社会发展</w:t>
      </w:r>
    </w:p>
    <w:p>
      <w:pPr>
        <w:ind w:firstLine="560"/>
        <w:rPr>
          <w:rFonts w:ascii="Times New Roman" w:hAnsi="Times New Roman" w:cs="Times New Roman"/>
          <w:szCs w:val="28"/>
        </w:rPr>
      </w:pPr>
      <w:r>
        <w:rPr>
          <w:rFonts w:ascii="Times New Roman" w:hAnsi="Times New Roman" w:cs="Times New Roman"/>
          <w:szCs w:val="28"/>
        </w:rPr>
        <w:t>规划执行期间，全区耕地补充潜力越来越小，开发利用难度越来越大。今后经济社会的发展更多要依靠土地的节约集约利用。应加大力度推进农村土地综合整治以及城乡建设用地增减挂钩工作，对废弃工矿用地进行及时复垦。盘活已批未用土地，促进工业企业向工业功能区集聚发展，加大循环化工基地、河北藁城经济开发区、石家庄经济技术开发区等产业园区建设用地规模指标的分配，并进一步拓展发展空间，满足其用地需求。</w:t>
      </w:r>
    </w:p>
    <w:p>
      <w:pPr>
        <w:ind w:firstLine="560"/>
        <w:rPr>
          <w:rFonts w:ascii="Times New Roman" w:hAnsi="Times New Roman" w:cs="Times New Roman"/>
          <w:szCs w:val="28"/>
        </w:rPr>
      </w:pPr>
      <w:r>
        <w:rPr>
          <w:rFonts w:ascii="Times New Roman" w:hAnsi="Times New Roman" w:cs="Times New Roman"/>
          <w:szCs w:val="28"/>
        </w:rPr>
        <w:t xml:space="preserve"> 4、建立建设用地节约和集约利用机制</w:t>
      </w:r>
    </w:p>
    <w:p>
      <w:pPr>
        <w:ind w:firstLine="560"/>
        <w:rPr>
          <w:rFonts w:ascii="Times New Roman" w:hAnsi="Times New Roman" w:cs="Times New Roman"/>
          <w:szCs w:val="28"/>
        </w:rPr>
      </w:pPr>
      <w:r>
        <w:rPr>
          <w:rFonts w:ascii="Times New Roman" w:hAnsi="Times New Roman" w:cs="Times New Roman"/>
          <w:szCs w:val="28"/>
        </w:rPr>
        <w:t>建立建设用地集约利用考核评价制度，通过考核评估，反映集约利用水平，有针对性地采取调控措施。发挥政府对土地市场的调控作用和土地资源的综合效益，促进建设用地的合理利用和优化配置，缓解建设用地供求紧张矛盾，实现土地资源由粗放利用向集约利用的转变。同时，加大农村居民点整理复垦力度，积极制定配套政策和保障措施，建立集体土地流转制度，优化城乡土地利用结构，促进土地整理由农用地整理向建设用地整理转变，推进土地集约化利用，提高土地利用效率。</w:t>
      </w:r>
    </w:p>
    <w:p>
      <w:pPr>
        <w:ind w:firstLine="560"/>
        <w:rPr>
          <w:rFonts w:ascii="Times New Roman" w:hAnsi="Times New Roman" w:cs="Times New Roman"/>
          <w:szCs w:val="28"/>
        </w:rPr>
      </w:pPr>
    </w:p>
    <w:p>
      <w:pPr>
        <w:ind w:firstLine="560"/>
        <w:rPr>
          <w:rFonts w:ascii="Times New Roman" w:hAnsi="Times New Roman" w:cs="Times New Roman"/>
          <w:szCs w:val="28"/>
        </w:rPr>
      </w:pPr>
    </w:p>
    <w:sectPr>
      <w:pgSz w:w="11906" w:h="16838"/>
      <w:pgMar w:top="1440" w:right="1701" w:bottom="1440" w:left="1701" w:header="851" w:footer="992" w:gutter="0"/>
      <w:pgNumType w:start="1"/>
      <w:cols w:space="425" w:num="1"/>
      <w:docGrid w:type="lines" w:linePitch="38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524189"/>
      <w:docPartObj>
        <w:docPartGallery w:val="autotext"/>
      </w:docPartObj>
    </w:sdtPr>
    <w:sdtEndPr>
      <w:rPr>
        <w:rFonts w:ascii="Times New Roman" w:hAnsi="Times New Roman" w:cs="Times New Roman"/>
      </w:rPr>
    </w:sdtEndPr>
    <w:sdtContent>
      <w:p>
        <w:pPr>
          <w:pStyle w:val="10"/>
          <w:ind w:firstLine="360"/>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lang w:val="zh-CN"/>
          </w:rPr>
          <w:t>27</w:t>
        </w:r>
        <w:r>
          <w:rPr>
            <w:rFonts w:ascii="Times New Roman" w:hAnsi="Times New Roman" w:cs="Times New Roman"/>
          </w:rPr>
          <w:fldChar w:fldCharType="end"/>
        </w:r>
      </w:p>
    </w:sdtContent>
  </w:sdt>
  <w:p>
    <w:pPr>
      <w:pStyle w:val="10"/>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422"/>
      <w:jc w:val="left"/>
      <w:rPr>
        <w:rFonts w:ascii="仿宋_GB2312"/>
        <w:b/>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555DE"/>
    <w:multiLevelType w:val="multilevel"/>
    <w:tmpl w:val="394555DE"/>
    <w:lvl w:ilvl="0" w:tentative="0">
      <w:start w:val="1"/>
      <w:numFmt w:val="japaneseCounting"/>
      <w:lvlText w:val="%1、"/>
      <w:lvlJc w:val="left"/>
      <w:pPr>
        <w:ind w:left="1363" w:hanging="720"/>
      </w:pPr>
      <w:rPr>
        <w:rFonts w:hint="default"/>
      </w:r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bordersDoNotSurroundHeader w:val="1"/>
  <w:bordersDoNotSurroundFooter w:val="1"/>
  <w:documentProtection w:enforcement="0"/>
  <w:defaultTabStop w:val="420"/>
  <w:drawingGridHorizontalSpacing w:val="140"/>
  <w:drawingGridVerticalSpacing w:val="381"/>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363"/>
    <w:rsid w:val="00001AD0"/>
    <w:rsid w:val="00001E69"/>
    <w:rsid w:val="000030BD"/>
    <w:rsid w:val="00003E8A"/>
    <w:rsid w:val="00013ECC"/>
    <w:rsid w:val="0001427D"/>
    <w:rsid w:val="00015BF7"/>
    <w:rsid w:val="00015DDB"/>
    <w:rsid w:val="00015EF9"/>
    <w:rsid w:val="00016E5C"/>
    <w:rsid w:val="00022668"/>
    <w:rsid w:val="000256A1"/>
    <w:rsid w:val="000265F5"/>
    <w:rsid w:val="00031219"/>
    <w:rsid w:val="0003142A"/>
    <w:rsid w:val="000326DF"/>
    <w:rsid w:val="000344C4"/>
    <w:rsid w:val="00036676"/>
    <w:rsid w:val="00036977"/>
    <w:rsid w:val="00041008"/>
    <w:rsid w:val="00041699"/>
    <w:rsid w:val="00043E14"/>
    <w:rsid w:val="00044445"/>
    <w:rsid w:val="0004623C"/>
    <w:rsid w:val="000474AD"/>
    <w:rsid w:val="00051E40"/>
    <w:rsid w:val="00052127"/>
    <w:rsid w:val="00052773"/>
    <w:rsid w:val="00054CD8"/>
    <w:rsid w:val="000609F9"/>
    <w:rsid w:val="00060B37"/>
    <w:rsid w:val="00061254"/>
    <w:rsid w:val="00062EC8"/>
    <w:rsid w:val="00065B86"/>
    <w:rsid w:val="00066414"/>
    <w:rsid w:val="00066A87"/>
    <w:rsid w:val="00067F2C"/>
    <w:rsid w:val="00070BD5"/>
    <w:rsid w:val="00073130"/>
    <w:rsid w:val="00074584"/>
    <w:rsid w:val="00077242"/>
    <w:rsid w:val="00087B50"/>
    <w:rsid w:val="000A22FE"/>
    <w:rsid w:val="000A2E08"/>
    <w:rsid w:val="000A47AE"/>
    <w:rsid w:val="000B27A4"/>
    <w:rsid w:val="000B5589"/>
    <w:rsid w:val="000B5DD9"/>
    <w:rsid w:val="000B6366"/>
    <w:rsid w:val="000B68F0"/>
    <w:rsid w:val="000B7108"/>
    <w:rsid w:val="000C091B"/>
    <w:rsid w:val="000C2162"/>
    <w:rsid w:val="000C412D"/>
    <w:rsid w:val="000C50B9"/>
    <w:rsid w:val="000C52AA"/>
    <w:rsid w:val="000C6252"/>
    <w:rsid w:val="000D012C"/>
    <w:rsid w:val="000D0AD7"/>
    <w:rsid w:val="000E0E76"/>
    <w:rsid w:val="000E0EA5"/>
    <w:rsid w:val="000E1D6F"/>
    <w:rsid w:val="000E1FA2"/>
    <w:rsid w:val="000E3C2A"/>
    <w:rsid w:val="000E4BC3"/>
    <w:rsid w:val="000E795F"/>
    <w:rsid w:val="000F0687"/>
    <w:rsid w:val="000F373D"/>
    <w:rsid w:val="000F7F9F"/>
    <w:rsid w:val="001045EF"/>
    <w:rsid w:val="001108CB"/>
    <w:rsid w:val="00110DE5"/>
    <w:rsid w:val="00116B41"/>
    <w:rsid w:val="00120912"/>
    <w:rsid w:val="00127E6C"/>
    <w:rsid w:val="001306AD"/>
    <w:rsid w:val="00131496"/>
    <w:rsid w:val="00142E77"/>
    <w:rsid w:val="00144211"/>
    <w:rsid w:val="00145489"/>
    <w:rsid w:val="001521E0"/>
    <w:rsid w:val="001527D3"/>
    <w:rsid w:val="00155005"/>
    <w:rsid w:val="00163CD4"/>
    <w:rsid w:val="001671F0"/>
    <w:rsid w:val="00171399"/>
    <w:rsid w:val="0017142D"/>
    <w:rsid w:val="001717B0"/>
    <w:rsid w:val="00177CAE"/>
    <w:rsid w:val="00177F9B"/>
    <w:rsid w:val="00194C3B"/>
    <w:rsid w:val="001A0993"/>
    <w:rsid w:val="001A2F17"/>
    <w:rsid w:val="001A5855"/>
    <w:rsid w:val="001A64A9"/>
    <w:rsid w:val="001A7290"/>
    <w:rsid w:val="001B441C"/>
    <w:rsid w:val="001B5D49"/>
    <w:rsid w:val="001B702F"/>
    <w:rsid w:val="001C2122"/>
    <w:rsid w:val="001C2FD4"/>
    <w:rsid w:val="001C392E"/>
    <w:rsid w:val="001C4983"/>
    <w:rsid w:val="001C5ABC"/>
    <w:rsid w:val="001C7A4C"/>
    <w:rsid w:val="001D0726"/>
    <w:rsid w:val="001D2649"/>
    <w:rsid w:val="001D3263"/>
    <w:rsid w:val="001D4CCB"/>
    <w:rsid w:val="001D4FCE"/>
    <w:rsid w:val="001E36B0"/>
    <w:rsid w:val="001E73B7"/>
    <w:rsid w:val="001F3A79"/>
    <w:rsid w:val="001F3C7C"/>
    <w:rsid w:val="001F43ED"/>
    <w:rsid w:val="001F6326"/>
    <w:rsid w:val="00201FCA"/>
    <w:rsid w:val="00202218"/>
    <w:rsid w:val="00202589"/>
    <w:rsid w:val="00203147"/>
    <w:rsid w:val="00205DEC"/>
    <w:rsid w:val="002070FA"/>
    <w:rsid w:val="00207CBE"/>
    <w:rsid w:val="00213DC5"/>
    <w:rsid w:val="00215EFE"/>
    <w:rsid w:val="00221592"/>
    <w:rsid w:val="00221EC8"/>
    <w:rsid w:val="002222F9"/>
    <w:rsid w:val="0022387C"/>
    <w:rsid w:val="0023225A"/>
    <w:rsid w:val="00232D2E"/>
    <w:rsid w:val="00233383"/>
    <w:rsid w:val="00236578"/>
    <w:rsid w:val="0024036E"/>
    <w:rsid w:val="00241B7D"/>
    <w:rsid w:val="002457DC"/>
    <w:rsid w:val="0025079B"/>
    <w:rsid w:val="00254D1D"/>
    <w:rsid w:val="00255F09"/>
    <w:rsid w:val="002614F6"/>
    <w:rsid w:val="00264E11"/>
    <w:rsid w:val="00275A07"/>
    <w:rsid w:val="0027791E"/>
    <w:rsid w:val="00281DC4"/>
    <w:rsid w:val="002826AB"/>
    <w:rsid w:val="00282E67"/>
    <w:rsid w:val="002872C8"/>
    <w:rsid w:val="002923F0"/>
    <w:rsid w:val="00292B94"/>
    <w:rsid w:val="00295708"/>
    <w:rsid w:val="002978DE"/>
    <w:rsid w:val="002A2759"/>
    <w:rsid w:val="002B1E50"/>
    <w:rsid w:val="002B32DD"/>
    <w:rsid w:val="002B3383"/>
    <w:rsid w:val="002B5FB2"/>
    <w:rsid w:val="002C286C"/>
    <w:rsid w:val="002C4B00"/>
    <w:rsid w:val="002C4D5A"/>
    <w:rsid w:val="002C4F13"/>
    <w:rsid w:val="002C6583"/>
    <w:rsid w:val="002C6E19"/>
    <w:rsid w:val="002E34F6"/>
    <w:rsid w:val="002E58D8"/>
    <w:rsid w:val="002E5E62"/>
    <w:rsid w:val="002E619B"/>
    <w:rsid w:val="002F21E4"/>
    <w:rsid w:val="002F23F4"/>
    <w:rsid w:val="002F3894"/>
    <w:rsid w:val="00304C91"/>
    <w:rsid w:val="00306BB4"/>
    <w:rsid w:val="00307735"/>
    <w:rsid w:val="003125F6"/>
    <w:rsid w:val="00312F2B"/>
    <w:rsid w:val="00320184"/>
    <w:rsid w:val="00325AAF"/>
    <w:rsid w:val="00340553"/>
    <w:rsid w:val="00345CFC"/>
    <w:rsid w:val="0034775E"/>
    <w:rsid w:val="0035101A"/>
    <w:rsid w:val="003534EA"/>
    <w:rsid w:val="00355F65"/>
    <w:rsid w:val="00357E05"/>
    <w:rsid w:val="003610AF"/>
    <w:rsid w:val="00363EF1"/>
    <w:rsid w:val="0036478B"/>
    <w:rsid w:val="0036568A"/>
    <w:rsid w:val="00366675"/>
    <w:rsid w:val="00366FDD"/>
    <w:rsid w:val="00371FF7"/>
    <w:rsid w:val="003734C1"/>
    <w:rsid w:val="003760D0"/>
    <w:rsid w:val="003760EE"/>
    <w:rsid w:val="003833B9"/>
    <w:rsid w:val="00385D1A"/>
    <w:rsid w:val="003860DD"/>
    <w:rsid w:val="003877DD"/>
    <w:rsid w:val="003906C2"/>
    <w:rsid w:val="003910C1"/>
    <w:rsid w:val="00391E1A"/>
    <w:rsid w:val="00391EE0"/>
    <w:rsid w:val="003967B1"/>
    <w:rsid w:val="00397EE4"/>
    <w:rsid w:val="003A3100"/>
    <w:rsid w:val="003B425C"/>
    <w:rsid w:val="003B7892"/>
    <w:rsid w:val="003B7C9B"/>
    <w:rsid w:val="003C0D24"/>
    <w:rsid w:val="003C5F93"/>
    <w:rsid w:val="003D5BA5"/>
    <w:rsid w:val="003D7BEF"/>
    <w:rsid w:val="003E150C"/>
    <w:rsid w:val="003E27AD"/>
    <w:rsid w:val="003E44FA"/>
    <w:rsid w:val="003F0805"/>
    <w:rsid w:val="003F2588"/>
    <w:rsid w:val="003F2F01"/>
    <w:rsid w:val="00401BCD"/>
    <w:rsid w:val="004028B0"/>
    <w:rsid w:val="00402ACA"/>
    <w:rsid w:val="00403C39"/>
    <w:rsid w:val="00403F38"/>
    <w:rsid w:val="00404035"/>
    <w:rsid w:val="004065AE"/>
    <w:rsid w:val="004109AF"/>
    <w:rsid w:val="0041255B"/>
    <w:rsid w:val="0042314F"/>
    <w:rsid w:val="00423E47"/>
    <w:rsid w:val="00423F33"/>
    <w:rsid w:val="00431740"/>
    <w:rsid w:val="00434E7B"/>
    <w:rsid w:val="00445FB6"/>
    <w:rsid w:val="004509F8"/>
    <w:rsid w:val="00454167"/>
    <w:rsid w:val="004567D1"/>
    <w:rsid w:val="004569A4"/>
    <w:rsid w:val="00463E38"/>
    <w:rsid w:val="00470B2D"/>
    <w:rsid w:val="0047185E"/>
    <w:rsid w:val="00481319"/>
    <w:rsid w:val="00482412"/>
    <w:rsid w:val="00482736"/>
    <w:rsid w:val="00484673"/>
    <w:rsid w:val="004870CC"/>
    <w:rsid w:val="00497833"/>
    <w:rsid w:val="004D164A"/>
    <w:rsid w:val="004D35F2"/>
    <w:rsid w:val="004D48A5"/>
    <w:rsid w:val="004D5ED2"/>
    <w:rsid w:val="004D6853"/>
    <w:rsid w:val="004D6F43"/>
    <w:rsid w:val="004E2F32"/>
    <w:rsid w:val="004E5DE7"/>
    <w:rsid w:val="004E6EAB"/>
    <w:rsid w:val="004F1537"/>
    <w:rsid w:val="004F46FE"/>
    <w:rsid w:val="004F4DED"/>
    <w:rsid w:val="00503A0E"/>
    <w:rsid w:val="005065DB"/>
    <w:rsid w:val="00514B0B"/>
    <w:rsid w:val="00522274"/>
    <w:rsid w:val="005249EC"/>
    <w:rsid w:val="00524DB6"/>
    <w:rsid w:val="0052517C"/>
    <w:rsid w:val="00526823"/>
    <w:rsid w:val="00532A97"/>
    <w:rsid w:val="00537D21"/>
    <w:rsid w:val="005409A9"/>
    <w:rsid w:val="00542296"/>
    <w:rsid w:val="005466D3"/>
    <w:rsid w:val="005522B6"/>
    <w:rsid w:val="00553114"/>
    <w:rsid w:val="005553B2"/>
    <w:rsid w:val="00555FED"/>
    <w:rsid w:val="00567E34"/>
    <w:rsid w:val="0057003F"/>
    <w:rsid w:val="00581DD4"/>
    <w:rsid w:val="00582BAF"/>
    <w:rsid w:val="0058513B"/>
    <w:rsid w:val="005862C2"/>
    <w:rsid w:val="00590AB3"/>
    <w:rsid w:val="00592EF6"/>
    <w:rsid w:val="005934A0"/>
    <w:rsid w:val="00594788"/>
    <w:rsid w:val="005A091C"/>
    <w:rsid w:val="005A31AE"/>
    <w:rsid w:val="005A5487"/>
    <w:rsid w:val="005A7E28"/>
    <w:rsid w:val="005B2030"/>
    <w:rsid w:val="005B3842"/>
    <w:rsid w:val="005B6EC3"/>
    <w:rsid w:val="005B7F1D"/>
    <w:rsid w:val="005C0E03"/>
    <w:rsid w:val="005C5428"/>
    <w:rsid w:val="005C6F33"/>
    <w:rsid w:val="005D0274"/>
    <w:rsid w:val="005D0614"/>
    <w:rsid w:val="005D34BA"/>
    <w:rsid w:val="005D3739"/>
    <w:rsid w:val="005D5EB9"/>
    <w:rsid w:val="005D6CC2"/>
    <w:rsid w:val="005D7A36"/>
    <w:rsid w:val="005E1C6A"/>
    <w:rsid w:val="005E79A7"/>
    <w:rsid w:val="005F1AB9"/>
    <w:rsid w:val="005F65F6"/>
    <w:rsid w:val="005F75DA"/>
    <w:rsid w:val="0060337F"/>
    <w:rsid w:val="006051B1"/>
    <w:rsid w:val="00605303"/>
    <w:rsid w:val="00606144"/>
    <w:rsid w:val="00607848"/>
    <w:rsid w:val="00611C1F"/>
    <w:rsid w:val="00612B10"/>
    <w:rsid w:val="006133C9"/>
    <w:rsid w:val="00615B53"/>
    <w:rsid w:val="0061766D"/>
    <w:rsid w:val="006220D6"/>
    <w:rsid w:val="006222BB"/>
    <w:rsid w:val="00635CD2"/>
    <w:rsid w:val="00641BA7"/>
    <w:rsid w:val="00645BB0"/>
    <w:rsid w:val="00646173"/>
    <w:rsid w:val="00646BEC"/>
    <w:rsid w:val="00646FD7"/>
    <w:rsid w:val="006508DA"/>
    <w:rsid w:val="006520CE"/>
    <w:rsid w:val="00655A5F"/>
    <w:rsid w:val="00656F70"/>
    <w:rsid w:val="00666448"/>
    <w:rsid w:val="00675CD5"/>
    <w:rsid w:val="00676439"/>
    <w:rsid w:val="0069183D"/>
    <w:rsid w:val="00695DB3"/>
    <w:rsid w:val="006A5C84"/>
    <w:rsid w:val="006A7A02"/>
    <w:rsid w:val="006B00DF"/>
    <w:rsid w:val="006B0882"/>
    <w:rsid w:val="006B4A89"/>
    <w:rsid w:val="006B5EA4"/>
    <w:rsid w:val="006B6193"/>
    <w:rsid w:val="006C1FF5"/>
    <w:rsid w:val="006C380F"/>
    <w:rsid w:val="006C3D88"/>
    <w:rsid w:val="006C4055"/>
    <w:rsid w:val="006C5262"/>
    <w:rsid w:val="006C655D"/>
    <w:rsid w:val="006C67E5"/>
    <w:rsid w:val="006C70F0"/>
    <w:rsid w:val="006C72E0"/>
    <w:rsid w:val="006D19BA"/>
    <w:rsid w:val="006D431A"/>
    <w:rsid w:val="006D59DD"/>
    <w:rsid w:val="006D5CDB"/>
    <w:rsid w:val="006D731D"/>
    <w:rsid w:val="006F1A7B"/>
    <w:rsid w:val="006F2B1B"/>
    <w:rsid w:val="006F378C"/>
    <w:rsid w:val="006F3F60"/>
    <w:rsid w:val="006F5F31"/>
    <w:rsid w:val="006F7B1C"/>
    <w:rsid w:val="00704DE2"/>
    <w:rsid w:val="007064D5"/>
    <w:rsid w:val="00711472"/>
    <w:rsid w:val="007162EE"/>
    <w:rsid w:val="00717855"/>
    <w:rsid w:val="007343F6"/>
    <w:rsid w:val="007346A5"/>
    <w:rsid w:val="00736468"/>
    <w:rsid w:val="00737321"/>
    <w:rsid w:val="007414A7"/>
    <w:rsid w:val="007416BB"/>
    <w:rsid w:val="00743828"/>
    <w:rsid w:val="00744652"/>
    <w:rsid w:val="007461F8"/>
    <w:rsid w:val="00746FE9"/>
    <w:rsid w:val="00752E31"/>
    <w:rsid w:val="00755834"/>
    <w:rsid w:val="00764669"/>
    <w:rsid w:val="007722C6"/>
    <w:rsid w:val="00772E6A"/>
    <w:rsid w:val="007740FC"/>
    <w:rsid w:val="00784555"/>
    <w:rsid w:val="0079015F"/>
    <w:rsid w:val="00790AB1"/>
    <w:rsid w:val="0079302F"/>
    <w:rsid w:val="00793530"/>
    <w:rsid w:val="007952F1"/>
    <w:rsid w:val="00796124"/>
    <w:rsid w:val="007A0B32"/>
    <w:rsid w:val="007A2596"/>
    <w:rsid w:val="007B1978"/>
    <w:rsid w:val="007B4960"/>
    <w:rsid w:val="007B4E6F"/>
    <w:rsid w:val="007B5D8E"/>
    <w:rsid w:val="007C0D0B"/>
    <w:rsid w:val="007C25C3"/>
    <w:rsid w:val="007C57C2"/>
    <w:rsid w:val="007D0F15"/>
    <w:rsid w:val="007D1B75"/>
    <w:rsid w:val="007D44BF"/>
    <w:rsid w:val="007E32AC"/>
    <w:rsid w:val="007E390D"/>
    <w:rsid w:val="007E77B3"/>
    <w:rsid w:val="007F6A95"/>
    <w:rsid w:val="00803FD6"/>
    <w:rsid w:val="0080526F"/>
    <w:rsid w:val="00813010"/>
    <w:rsid w:val="00816997"/>
    <w:rsid w:val="008170CE"/>
    <w:rsid w:val="008178BB"/>
    <w:rsid w:val="00820269"/>
    <w:rsid w:val="00821215"/>
    <w:rsid w:val="008237AE"/>
    <w:rsid w:val="0082480B"/>
    <w:rsid w:val="00824F65"/>
    <w:rsid w:val="00831AE9"/>
    <w:rsid w:val="00832C72"/>
    <w:rsid w:val="0083446B"/>
    <w:rsid w:val="008407F8"/>
    <w:rsid w:val="00843B5D"/>
    <w:rsid w:val="00852739"/>
    <w:rsid w:val="00852F85"/>
    <w:rsid w:val="00862428"/>
    <w:rsid w:val="0086352E"/>
    <w:rsid w:val="00866D38"/>
    <w:rsid w:val="00867622"/>
    <w:rsid w:val="008702D0"/>
    <w:rsid w:val="00870567"/>
    <w:rsid w:val="0087697A"/>
    <w:rsid w:val="00883D75"/>
    <w:rsid w:val="008903B3"/>
    <w:rsid w:val="00891806"/>
    <w:rsid w:val="00892BEC"/>
    <w:rsid w:val="0089308D"/>
    <w:rsid w:val="008A2B36"/>
    <w:rsid w:val="008A46F4"/>
    <w:rsid w:val="008A5A09"/>
    <w:rsid w:val="008A67C0"/>
    <w:rsid w:val="008A7213"/>
    <w:rsid w:val="008A7755"/>
    <w:rsid w:val="008B1552"/>
    <w:rsid w:val="008B3C92"/>
    <w:rsid w:val="008B4ECA"/>
    <w:rsid w:val="008C0585"/>
    <w:rsid w:val="008C0A28"/>
    <w:rsid w:val="008C27ED"/>
    <w:rsid w:val="008C2B00"/>
    <w:rsid w:val="008C76A3"/>
    <w:rsid w:val="008D2670"/>
    <w:rsid w:val="008D453E"/>
    <w:rsid w:val="008E7F18"/>
    <w:rsid w:val="008F1274"/>
    <w:rsid w:val="008F3A78"/>
    <w:rsid w:val="008F547C"/>
    <w:rsid w:val="008F5F5E"/>
    <w:rsid w:val="00900FE8"/>
    <w:rsid w:val="009153D6"/>
    <w:rsid w:val="00916B7B"/>
    <w:rsid w:val="00917481"/>
    <w:rsid w:val="00920D3E"/>
    <w:rsid w:val="009215E9"/>
    <w:rsid w:val="00922CAD"/>
    <w:rsid w:val="00924B14"/>
    <w:rsid w:val="00925FFB"/>
    <w:rsid w:val="009272B7"/>
    <w:rsid w:val="0092733D"/>
    <w:rsid w:val="0093133C"/>
    <w:rsid w:val="00935E43"/>
    <w:rsid w:val="009402FC"/>
    <w:rsid w:val="00940306"/>
    <w:rsid w:val="00940B28"/>
    <w:rsid w:val="00941E0C"/>
    <w:rsid w:val="00942E96"/>
    <w:rsid w:val="0094510C"/>
    <w:rsid w:val="0094569E"/>
    <w:rsid w:val="00946FDE"/>
    <w:rsid w:val="00951D4B"/>
    <w:rsid w:val="009567F4"/>
    <w:rsid w:val="0096555B"/>
    <w:rsid w:val="009749A0"/>
    <w:rsid w:val="00976F50"/>
    <w:rsid w:val="00990584"/>
    <w:rsid w:val="00994A93"/>
    <w:rsid w:val="009A3785"/>
    <w:rsid w:val="009A430E"/>
    <w:rsid w:val="009A6319"/>
    <w:rsid w:val="009B073E"/>
    <w:rsid w:val="009B1D61"/>
    <w:rsid w:val="009C2115"/>
    <w:rsid w:val="009C5135"/>
    <w:rsid w:val="009D5363"/>
    <w:rsid w:val="009D5AAC"/>
    <w:rsid w:val="009E07AF"/>
    <w:rsid w:val="009E1793"/>
    <w:rsid w:val="009E181D"/>
    <w:rsid w:val="009F24BD"/>
    <w:rsid w:val="009F36AF"/>
    <w:rsid w:val="009F3F92"/>
    <w:rsid w:val="009F71F0"/>
    <w:rsid w:val="00A01494"/>
    <w:rsid w:val="00A01738"/>
    <w:rsid w:val="00A028E7"/>
    <w:rsid w:val="00A031CB"/>
    <w:rsid w:val="00A04915"/>
    <w:rsid w:val="00A054B2"/>
    <w:rsid w:val="00A107C5"/>
    <w:rsid w:val="00A25AB0"/>
    <w:rsid w:val="00A25CF3"/>
    <w:rsid w:val="00A30505"/>
    <w:rsid w:val="00A321FD"/>
    <w:rsid w:val="00A428DB"/>
    <w:rsid w:val="00A505C5"/>
    <w:rsid w:val="00A50900"/>
    <w:rsid w:val="00A527CC"/>
    <w:rsid w:val="00A5727C"/>
    <w:rsid w:val="00A57669"/>
    <w:rsid w:val="00A6118A"/>
    <w:rsid w:val="00A653B0"/>
    <w:rsid w:val="00A65631"/>
    <w:rsid w:val="00A66021"/>
    <w:rsid w:val="00A70B3E"/>
    <w:rsid w:val="00A84424"/>
    <w:rsid w:val="00A8470C"/>
    <w:rsid w:val="00A85DF4"/>
    <w:rsid w:val="00A868DA"/>
    <w:rsid w:val="00A9091B"/>
    <w:rsid w:val="00A9154A"/>
    <w:rsid w:val="00A9399B"/>
    <w:rsid w:val="00A949A6"/>
    <w:rsid w:val="00A957C8"/>
    <w:rsid w:val="00A9715F"/>
    <w:rsid w:val="00AA00B9"/>
    <w:rsid w:val="00AA4A65"/>
    <w:rsid w:val="00AA7C0F"/>
    <w:rsid w:val="00AB57BB"/>
    <w:rsid w:val="00AC2900"/>
    <w:rsid w:val="00AC47A1"/>
    <w:rsid w:val="00AC7956"/>
    <w:rsid w:val="00AD42E3"/>
    <w:rsid w:val="00AD4D9F"/>
    <w:rsid w:val="00AD5455"/>
    <w:rsid w:val="00AE0473"/>
    <w:rsid w:val="00AE28BF"/>
    <w:rsid w:val="00AE2E6F"/>
    <w:rsid w:val="00AE493C"/>
    <w:rsid w:val="00AE4DAB"/>
    <w:rsid w:val="00AE599E"/>
    <w:rsid w:val="00AF0980"/>
    <w:rsid w:val="00AF0ABD"/>
    <w:rsid w:val="00AF2365"/>
    <w:rsid w:val="00AF38D9"/>
    <w:rsid w:val="00B00546"/>
    <w:rsid w:val="00B01B1D"/>
    <w:rsid w:val="00B01BAB"/>
    <w:rsid w:val="00B01D54"/>
    <w:rsid w:val="00B038CF"/>
    <w:rsid w:val="00B04D19"/>
    <w:rsid w:val="00B079D0"/>
    <w:rsid w:val="00B21ACD"/>
    <w:rsid w:val="00B21D8B"/>
    <w:rsid w:val="00B24246"/>
    <w:rsid w:val="00B3556E"/>
    <w:rsid w:val="00B370F3"/>
    <w:rsid w:val="00B427B7"/>
    <w:rsid w:val="00B442BC"/>
    <w:rsid w:val="00B453D7"/>
    <w:rsid w:val="00B45CD4"/>
    <w:rsid w:val="00B46556"/>
    <w:rsid w:val="00B54A3A"/>
    <w:rsid w:val="00B54B44"/>
    <w:rsid w:val="00B565F7"/>
    <w:rsid w:val="00B5798E"/>
    <w:rsid w:val="00B605AD"/>
    <w:rsid w:val="00B61150"/>
    <w:rsid w:val="00B6259F"/>
    <w:rsid w:val="00B636BF"/>
    <w:rsid w:val="00B63988"/>
    <w:rsid w:val="00B6570B"/>
    <w:rsid w:val="00B70CC5"/>
    <w:rsid w:val="00B8500A"/>
    <w:rsid w:val="00B92B4D"/>
    <w:rsid w:val="00BA03F8"/>
    <w:rsid w:val="00BA0787"/>
    <w:rsid w:val="00BA5D28"/>
    <w:rsid w:val="00BB0239"/>
    <w:rsid w:val="00BB140F"/>
    <w:rsid w:val="00BB1CAB"/>
    <w:rsid w:val="00BB493A"/>
    <w:rsid w:val="00BB5387"/>
    <w:rsid w:val="00BC10DB"/>
    <w:rsid w:val="00BC142D"/>
    <w:rsid w:val="00BC50F7"/>
    <w:rsid w:val="00BC7A75"/>
    <w:rsid w:val="00BD0E0B"/>
    <w:rsid w:val="00BD1AB1"/>
    <w:rsid w:val="00BD3EAD"/>
    <w:rsid w:val="00BD44B6"/>
    <w:rsid w:val="00BD7F40"/>
    <w:rsid w:val="00BE1576"/>
    <w:rsid w:val="00BE6D1E"/>
    <w:rsid w:val="00BE6DE5"/>
    <w:rsid w:val="00BF1CB6"/>
    <w:rsid w:val="00BF3295"/>
    <w:rsid w:val="00BF33C2"/>
    <w:rsid w:val="00BF525C"/>
    <w:rsid w:val="00C021BB"/>
    <w:rsid w:val="00C049E8"/>
    <w:rsid w:val="00C04EFF"/>
    <w:rsid w:val="00C10293"/>
    <w:rsid w:val="00C12FAC"/>
    <w:rsid w:val="00C15B63"/>
    <w:rsid w:val="00C20A28"/>
    <w:rsid w:val="00C21810"/>
    <w:rsid w:val="00C228A2"/>
    <w:rsid w:val="00C23DCC"/>
    <w:rsid w:val="00C2477C"/>
    <w:rsid w:val="00C253C2"/>
    <w:rsid w:val="00C275B7"/>
    <w:rsid w:val="00C279F7"/>
    <w:rsid w:val="00C32DB3"/>
    <w:rsid w:val="00C377FD"/>
    <w:rsid w:val="00C37F1E"/>
    <w:rsid w:val="00C4163F"/>
    <w:rsid w:val="00C42976"/>
    <w:rsid w:val="00C42C98"/>
    <w:rsid w:val="00C44200"/>
    <w:rsid w:val="00C44341"/>
    <w:rsid w:val="00C44E9A"/>
    <w:rsid w:val="00C52CF5"/>
    <w:rsid w:val="00C52F22"/>
    <w:rsid w:val="00C53E6C"/>
    <w:rsid w:val="00C56097"/>
    <w:rsid w:val="00C57676"/>
    <w:rsid w:val="00C631D1"/>
    <w:rsid w:val="00C6677E"/>
    <w:rsid w:val="00C66A28"/>
    <w:rsid w:val="00C66EEC"/>
    <w:rsid w:val="00C67F9D"/>
    <w:rsid w:val="00C70C9C"/>
    <w:rsid w:val="00C7707A"/>
    <w:rsid w:val="00C77461"/>
    <w:rsid w:val="00C82016"/>
    <w:rsid w:val="00C82DC1"/>
    <w:rsid w:val="00C91D8E"/>
    <w:rsid w:val="00C938FD"/>
    <w:rsid w:val="00C966CD"/>
    <w:rsid w:val="00CA0E15"/>
    <w:rsid w:val="00CA14FA"/>
    <w:rsid w:val="00CA3AE9"/>
    <w:rsid w:val="00CA4CEE"/>
    <w:rsid w:val="00CA51FD"/>
    <w:rsid w:val="00CA61FD"/>
    <w:rsid w:val="00CB022E"/>
    <w:rsid w:val="00CB10C2"/>
    <w:rsid w:val="00CC3CAE"/>
    <w:rsid w:val="00CC752E"/>
    <w:rsid w:val="00CD0657"/>
    <w:rsid w:val="00CD284A"/>
    <w:rsid w:val="00CD2930"/>
    <w:rsid w:val="00CD3517"/>
    <w:rsid w:val="00CE05BD"/>
    <w:rsid w:val="00CF2B15"/>
    <w:rsid w:val="00CF55BA"/>
    <w:rsid w:val="00CF6F68"/>
    <w:rsid w:val="00D00569"/>
    <w:rsid w:val="00D0066D"/>
    <w:rsid w:val="00D01368"/>
    <w:rsid w:val="00D015F0"/>
    <w:rsid w:val="00D0371F"/>
    <w:rsid w:val="00D0388D"/>
    <w:rsid w:val="00D03E46"/>
    <w:rsid w:val="00D048EF"/>
    <w:rsid w:val="00D05998"/>
    <w:rsid w:val="00D1002E"/>
    <w:rsid w:val="00D10092"/>
    <w:rsid w:val="00D12623"/>
    <w:rsid w:val="00D12D59"/>
    <w:rsid w:val="00D150F3"/>
    <w:rsid w:val="00D213C3"/>
    <w:rsid w:val="00D231D4"/>
    <w:rsid w:val="00D30C1D"/>
    <w:rsid w:val="00D31839"/>
    <w:rsid w:val="00D31949"/>
    <w:rsid w:val="00D42C18"/>
    <w:rsid w:val="00D4431C"/>
    <w:rsid w:val="00D453C8"/>
    <w:rsid w:val="00D45C49"/>
    <w:rsid w:val="00D57C4B"/>
    <w:rsid w:val="00D61390"/>
    <w:rsid w:val="00D6157D"/>
    <w:rsid w:val="00D70F6E"/>
    <w:rsid w:val="00D742BA"/>
    <w:rsid w:val="00D74325"/>
    <w:rsid w:val="00D747EF"/>
    <w:rsid w:val="00D76284"/>
    <w:rsid w:val="00D771E5"/>
    <w:rsid w:val="00D84928"/>
    <w:rsid w:val="00D8698F"/>
    <w:rsid w:val="00D910E8"/>
    <w:rsid w:val="00D955A0"/>
    <w:rsid w:val="00D97F17"/>
    <w:rsid w:val="00DA20AB"/>
    <w:rsid w:val="00DA4128"/>
    <w:rsid w:val="00DA5557"/>
    <w:rsid w:val="00DA61D1"/>
    <w:rsid w:val="00DA6B52"/>
    <w:rsid w:val="00DA6E76"/>
    <w:rsid w:val="00DB26F2"/>
    <w:rsid w:val="00DB4132"/>
    <w:rsid w:val="00DC1EC8"/>
    <w:rsid w:val="00DD2BB6"/>
    <w:rsid w:val="00DD5A5A"/>
    <w:rsid w:val="00DD5C11"/>
    <w:rsid w:val="00DE1DD3"/>
    <w:rsid w:val="00DE53FC"/>
    <w:rsid w:val="00DE59C8"/>
    <w:rsid w:val="00DF0563"/>
    <w:rsid w:val="00DF2704"/>
    <w:rsid w:val="00E020E1"/>
    <w:rsid w:val="00E02ADE"/>
    <w:rsid w:val="00E1058B"/>
    <w:rsid w:val="00E10622"/>
    <w:rsid w:val="00E12DEC"/>
    <w:rsid w:val="00E13A76"/>
    <w:rsid w:val="00E15AEC"/>
    <w:rsid w:val="00E216DE"/>
    <w:rsid w:val="00E23172"/>
    <w:rsid w:val="00E237B8"/>
    <w:rsid w:val="00E23EB2"/>
    <w:rsid w:val="00E2693F"/>
    <w:rsid w:val="00E33D93"/>
    <w:rsid w:val="00E33DE3"/>
    <w:rsid w:val="00E351A0"/>
    <w:rsid w:val="00E470C1"/>
    <w:rsid w:val="00E5064A"/>
    <w:rsid w:val="00E61870"/>
    <w:rsid w:val="00E65AB2"/>
    <w:rsid w:val="00E664E4"/>
    <w:rsid w:val="00E66782"/>
    <w:rsid w:val="00E66DB3"/>
    <w:rsid w:val="00E70A23"/>
    <w:rsid w:val="00E758F4"/>
    <w:rsid w:val="00E77624"/>
    <w:rsid w:val="00E87ED1"/>
    <w:rsid w:val="00E965BD"/>
    <w:rsid w:val="00E96C97"/>
    <w:rsid w:val="00EA3005"/>
    <w:rsid w:val="00EA4C9D"/>
    <w:rsid w:val="00EA69AE"/>
    <w:rsid w:val="00EA7EC2"/>
    <w:rsid w:val="00EB453D"/>
    <w:rsid w:val="00EC6750"/>
    <w:rsid w:val="00EC73FB"/>
    <w:rsid w:val="00ED0642"/>
    <w:rsid w:val="00ED1CB4"/>
    <w:rsid w:val="00ED3C75"/>
    <w:rsid w:val="00EE115F"/>
    <w:rsid w:val="00EE3BBE"/>
    <w:rsid w:val="00EE6699"/>
    <w:rsid w:val="00EF621E"/>
    <w:rsid w:val="00EF7502"/>
    <w:rsid w:val="00F0617F"/>
    <w:rsid w:val="00F12B8E"/>
    <w:rsid w:val="00F155BB"/>
    <w:rsid w:val="00F15758"/>
    <w:rsid w:val="00F20FBF"/>
    <w:rsid w:val="00F218CD"/>
    <w:rsid w:val="00F24BA0"/>
    <w:rsid w:val="00F36482"/>
    <w:rsid w:val="00F36573"/>
    <w:rsid w:val="00F37E36"/>
    <w:rsid w:val="00F40C8B"/>
    <w:rsid w:val="00F4216A"/>
    <w:rsid w:val="00F44734"/>
    <w:rsid w:val="00F50586"/>
    <w:rsid w:val="00F54975"/>
    <w:rsid w:val="00F55ADC"/>
    <w:rsid w:val="00F6090F"/>
    <w:rsid w:val="00F621A8"/>
    <w:rsid w:val="00F63D1C"/>
    <w:rsid w:val="00F65C03"/>
    <w:rsid w:val="00F660A2"/>
    <w:rsid w:val="00F70508"/>
    <w:rsid w:val="00F71905"/>
    <w:rsid w:val="00F745C5"/>
    <w:rsid w:val="00F75710"/>
    <w:rsid w:val="00F80AB2"/>
    <w:rsid w:val="00F813A3"/>
    <w:rsid w:val="00F823C0"/>
    <w:rsid w:val="00F83EE6"/>
    <w:rsid w:val="00F84265"/>
    <w:rsid w:val="00F845FA"/>
    <w:rsid w:val="00F852BB"/>
    <w:rsid w:val="00F904F4"/>
    <w:rsid w:val="00F926D5"/>
    <w:rsid w:val="00F97FAA"/>
    <w:rsid w:val="00FA1795"/>
    <w:rsid w:val="00FB0EB5"/>
    <w:rsid w:val="00FB48A6"/>
    <w:rsid w:val="00FC2064"/>
    <w:rsid w:val="00FD1964"/>
    <w:rsid w:val="00FD35E6"/>
    <w:rsid w:val="00FD376F"/>
    <w:rsid w:val="00FD473F"/>
    <w:rsid w:val="00FE2C61"/>
    <w:rsid w:val="00FE4D86"/>
    <w:rsid w:val="00FE6EE6"/>
    <w:rsid w:val="00FF0823"/>
    <w:rsid w:val="00FF0DEA"/>
    <w:rsid w:val="00FF2A71"/>
    <w:rsid w:val="00FF4669"/>
    <w:rsid w:val="00FF608A"/>
    <w:rsid w:val="00FF61F7"/>
    <w:rsid w:val="3A59641A"/>
    <w:rsid w:val="711822AE"/>
    <w:rsid w:val="7F5167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qFormat="1"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qFormat="1" w:unhideWhenUsed="0" w:uiPriority="0" w:semiHidden="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20" w:semiHidden="0" w:name="Emphasis"/>
    <w:lsdException w:qFormat="1"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Calibri" w:hAnsi="Calibri" w:eastAsia="仿宋_GB2312" w:cs="黑体"/>
      <w:kern w:val="2"/>
      <w:sz w:val="28"/>
      <w:szCs w:val="22"/>
      <w:lang w:val="en-US" w:eastAsia="zh-CN" w:bidi="ar-SA"/>
    </w:rPr>
  </w:style>
  <w:style w:type="paragraph" w:styleId="2">
    <w:name w:val="heading 1"/>
    <w:basedOn w:val="1"/>
    <w:next w:val="1"/>
    <w:link w:val="27"/>
    <w:qFormat/>
    <w:uiPriority w:val="9"/>
    <w:pPr>
      <w:keepNext/>
      <w:keepLines/>
      <w:spacing w:before="340" w:after="330" w:line="578" w:lineRule="auto"/>
      <w:outlineLvl w:val="0"/>
    </w:pPr>
    <w:rPr>
      <w:rFonts w:eastAsia="黑体"/>
      <w:b/>
      <w:bCs/>
      <w:kern w:val="44"/>
      <w:sz w:val="52"/>
      <w:szCs w:val="44"/>
    </w:rPr>
  </w:style>
  <w:style w:type="paragraph" w:styleId="3">
    <w:name w:val="heading 2"/>
    <w:basedOn w:val="1"/>
    <w:next w:val="1"/>
    <w:link w:val="28"/>
    <w:unhideWhenUsed/>
    <w:qFormat/>
    <w:uiPriority w:val="9"/>
    <w:pPr>
      <w:keepNext/>
      <w:keepLines/>
      <w:spacing w:before="120" w:after="120" w:line="240" w:lineRule="auto"/>
      <w:ind w:firstLine="0" w:firstLineChars="0"/>
      <w:jc w:val="left"/>
      <w:outlineLvl w:val="1"/>
    </w:pPr>
    <w:rPr>
      <w:rFonts w:ascii="Cambria" w:hAnsi="Cambria" w:eastAsia="黑体"/>
      <w:b/>
      <w:bCs/>
      <w:sz w:val="32"/>
      <w:szCs w:val="32"/>
    </w:rPr>
  </w:style>
  <w:style w:type="paragraph" w:styleId="4">
    <w:name w:val="heading 3"/>
    <w:basedOn w:val="1"/>
    <w:next w:val="1"/>
    <w:link w:val="29"/>
    <w:unhideWhenUsed/>
    <w:qFormat/>
    <w:uiPriority w:val="9"/>
    <w:pPr>
      <w:keepNext/>
      <w:keepLines/>
      <w:spacing w:beforeLines="50" w:afterLines="50" w:line="240" w:lineRule="auto"/>
      <w:ind w:firstLine="0" w:firstLineChars="0"/>
      <w:jc w:val="left"/>
      <w:outlineLvl w:val="2"/>
    </w:pPr>
    <w:rPr>
      <w:rFonts w:eastAsia="黑体"/>
      <w:bCs/>
      <w:kern w:val="0"/>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Cambria" w:hAnsi="Cambria" w:eastAsia="宋体" w:cs="Times New Roman"/>
      <w:b/>
      <w:bCs/>
      <w:szCs w:val="28"/>
    </w:rPr>
  </w:style>
  <w:style w:type="character" w:default="1" w:styleId="19">
    <w:name w:val="Default Paragraph Font"/>
    <w:semiHidden/>
    <w:unhideWhenUsed/>
    <w:uiPriority w:val="1"/>
  </w:style>
  <w:style w:type="table" w:default="1" w:styleId="17">
    <w:name w:val="Normal Table"/>
    <w:semiHidden/>
    <w:unhideWhenUsed/>
    <w:qFormat/>
    <w:uiPriority w:val="99"/>
    <w:tblPr>
      <w:tblLayout w:type="fixed"/>
      <w:tblCellMar>
        <w:top w:w="0" w:type="dxa"/>
        <w:left w:w="108" w:type="dxa"/>
        <w:bottom w:w="0" w:type="dxa"/>
        <w:right w:w="108" w:type="dxa"/>
      </w:tblCellMar>
    </w:tblPr>
  </w:style>
  <w:style w:type="paragraph" w:styleId="6">
    <w:name w:val="Document Map"/>
    <w:basedOn w:val="1"/>
    <w:link w:val="41"/>
    <w:semiHidden/>
    <w:unhideWhenUsed/>
    <w:qFormat/>
    <w:uiPriority w:val="0"/>
    <w:rPr>
      <w:rFonts w:ascii="宋体" w:eastAsia="宋体"/>
      <w:sz w:val="18"/>
      <w:szCs w:val="18"/>
    </w:rPr>
  </w:style>
  <w:style w:type="paragraph" w:styleId="7">
    <w:name w:val="annotation text"/>
    <w:basedOn w:val="1"/>
    <w:link w:val="42"/>
    <w:semiHidden/>
    <w:unhideWhenUsed/>
    <w:qFormat/>
    <w:uiPriority w:val="0"/>
    <w:pPr>
      <w:jc w:val="left"/>
    </w:pPr>
  </w:style>
  <w:style w:type="paragraph" w:styleId="8">
    <w:name w:val="toc 3"/>
    <w:basedOn w:val="1"/>
    <w:next w:val="1"/>
    <w:unhideWhenUsed/>
    <w:qFormat/>
    <w:uiPriority w:val="39"/>
    <w:pPr>
      <w:ind w:left="840" w:leftChars="400"/>
    </w:pPr>
  </w:style>
  <w:style w:type="paragraph" w:styleId="9">
    <w:name w:val="Balloon Text"/>
    <w:basedOn w:val="1"/>
    <w:link w:val="30"/>
    <w:semiHidden/>
    <w:unhideWhenUsed/>
    <w:qFormat/>
    <w:uiPriority w:val="99"/>
    <w:pPr>
      <w:spacing w:line="240" w:lineRule="auto"/>
    </w:pPr>
    <w:rPr>
      <w:sz w:val="18"/>
      <w:szCs w:val="18"/>
    </w:rPr>
  </w:style>
  <w:style w:type="paragraph" w:styleId="10">
    <w:name w:val="footer"/>
    <w:basedOn w:val="1"/>
    <w:link w:val="26"/>
    <w:unhideWhenUsed/>
    <w:qFormat/>
    <w:uiPriority w:val="99"/>
    <w:pPr>
      <w:tabs>
        <w:tab w:val="center" w:pos="4153"/>
        <w:tab w:val="right" w:pos="8306"/>
      </w:tabs>
      <w:snapToGrid w:val="0"/>
      <w:jc w:val="left"/>
    </w:pPr>
    <w:rPr>
      <w:sz w:val="18"/>
      <w:szCs w:val="18"/>
    </w:rPr>
  </w:style>
  <w:style w:type="paragraph" w:styleId="11">
    <w:name w:val="header"/>
    <w:basedOn w:val="1"/>
    <w:link w:val="25"/>
    <w:unhideWhenUsed/>
    <w:qFormat/>
    <w:uiPriority w:val="99"/>
    <w:pPr>
      <w:pBdr>
        <w:bottom w:val="single" w:color="auto" w:sz="6" w:space="0"/>
      </w:pBdr>
      <w:tabs>
        <w:tab w:val="center" w:pos="4153"/>
        <w:tab w:val="right" w:pos="8306"/>
      </w:tabs>
      <w:snapToGrid w:val="0"/>
      <w:ind w:firstLine="360"/>
      <w:jc w:val="center"/>
    </w:pPr>
    <w:rPr>
      <w:sz w:val="18"/>
      <w:szCs w:val="18"/>
    </w:rPr>
  </w:style>
  <w:style w:type="paragraph" w:styleId="12">
    <w:name w:val="toc 1"/>
    <w:basedOn w:val="1"/>
    <w:next w:val="1"/>
    <w:unhideWhenUsed/>
    <w:qFormat/>
    <w:uiPriority w:val="39"/>
    <w:pPr>
      <w:tabs>
        <w:tab w:val="right" w:leader="dot" w:pos="8494"/>
      </w:tabs>
      <w:ind w:firstLine="560"/>
      <w:jc w:val="left"/>
    </w:pPr>
  </w:style>
  <w:style w:type="paragraph" w:styleId="13">
    <w:name w:val="Body Text Indent 3"/>
    <w:basedOn w:val="1"/>
    <w:link w:val="34"/>
    <w:qFormat/>
    <w:uiPriority w:val="0"/>
    <w:pPr>
      <w:spacing w:after="120" w:line="240" w:lineRule="auto"/>
      <w:ind w:left="420" w:leftChars="200" w:firstLine="0" w:firstLineChars="0"/>
    </w:pPr>
    <w:rPr>
      <w:rFonts w:eastAsia="宋体" w:cs="Times New Roman"/>
      <w:sz w:val="16"/>
      <w:szCs w:val="16"/>
    </w:rPr>
  </w:style>
  <w:style w:type="paragraph" w:styleId="14">
    <w:name w:val="toc 2"/>
    <w:basedOn w:val="1"/>
    <w:next w:val="1"/>
    <w:unhideWhenUsed/>
    <w:qFormat/>
    <w:uiPriority w:val="39"/>
    <w:pPr>
      <w:tabs>
        <w:tab w:val="left" w:pos="670"/>
        <w:tab w:val="right" w:leader="dot" w:pos="8494"/>
      </w:tabs>
      <w:ind w:firstLine="0" w:firstLineChars="0"/>
    </w:pPr>
  </w:style>
  <w:style w:type="paragraph" w:styleId="15">
    <w:name w:val="Normal (Web)"/>
    <w:basedOn w:val="1"/>
    <w:qFormat/>
    <w:uiPriority w:val="0"/>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styleId="16">
    <w:name w:val="annotation subject"/>
    <w:basedOn w:val="7"/>
    <w:next w:val="7"/>
    <w:link w:val="43"/>
    <w:semiHidden/>
    <w:unhideWhenUsed/>
    <w:qFormat/>
    <w:uiPriority w:val="0"/>
    <w:rPr>
      <w:b/>
      <w:bCs/>
    </w:rPr>
  </w:style>
  <w:style w:type="table" w:styleId="18">
    <w:name w:val="Table Grid"/>
    <w:basedOn w:val="17"/>
    <w:unhideWhenUsed/>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0">
    <w:name w:val="page number"/>
    <w:basedOn w:val="19"/>
    <w:semiHidden/>
    <w:unhideWhenUsed/>
    <w:qFormat/>
    <w:uiPriority w:val="0"/>
  </w:style>
  <w:style w:type="character" w:styleId="21">
    <w:name w:val="Hyperlink"/>
    <w:basedOn w:val="19"/>
    <w:unhideWhenUsed/>
    <w:qFormat/>
    <w:uiPriority w:val="99"/>
    <w:rPr>
      <w:color w:val="0000FF" w:themeColor="hyperlink"/>
      <w:u w:val="single"/>
      <w14:textFill>
        <w14:solidFill>
          <w14:schemeClr w14:val="hlink"/>
        </w14:solidFill>
      </w14:textFill>
    </w:rPr>
  </w:style>
  <w:style w:type="character" w:styleId="22">
    <w:name w:val="annotation reference"/>
    <w:basedOn w:val="19"/>
    <w:semiHidden/>
    <w:unhideWhenUsed/>
    <w:qFormat/>
    <w:uiPriority w:val="0"/>
    <w:rPr>
      <w:sz w:val="21"/>
      <w:szCs w:val="21"/>
    </w:rPr>
  </w:style>
  <w:style w:type="paragraph" w:customStyle="1" w:styleId="23">
    <w:name w:val="列出段落1"/>
    <w:basedOn w:val="1"/>
    <w:qFormat/>
    <w:uiPriority w:val="34"/>
    <w:pPr>
      <w:ind w:firstLine="420"/>
    </w:pPr>
  </w:style>
  <w:style w:type="paragraph" w:customStyle="1" w:styleId="24">
    <w:name w:val="目录"/>
    <w:basedOn w:val="1"/>
    <w:qFormat/>
    <w:uiPriority w:val="0"/>
    <w:pPr>
      <w:spacing w:line="560" w:lineRule="exact"/>
      <w:ind w:right="280"/>
      <w:jc w:val="center"/>
    </w:pPr>
    <w:rPr>
      <w:rFonts w:ascii="黑体" w:hAnsi="宋体" w:eastAsia="黑体" w:cs="Times New Roman"/>
      <w:b/>
      <w:sz w:val="32"/>
      <w:szCs w:val="32"/>
    </w:rPr>
  </w:style>
  <w:style w:type="character" w:customStyle="1" w:styleId="25">
    <w:name w:val="页眉 Char"/>
    <w:link w:val="11"/>
    <w:qFormat/>
    <w:uiPriority w:val="99"/>
    <w:rPr>
      <w:rFonts w:eastAsia="仿宋_GB2312"/>
      <w:sz w:val="18"/>
      <w:szCs w:val="18"/>
    </w:rPr>
  </w:style>
  <w:style w:type="character" w:customStyle="1" w:styleId="26">
    <w:name w:val="页脚 Char"/>
    <w:link w:val="10"/>
    <w:qFormat/>
    <w:uiPriority w:val="99"/>
    <w:rPr>
      <w:sz w:val="18"/>
      <w:szCs w:val="18"/>
    </w:rPr>
  </w:style>
  <w:style w:type="character" w:customStyle="1" w:styleId="27">
    <w:name w:val="标题 1 Char"/>
    <w:link w:val="2"/>
    <w:qFormat/>
    <w:uiPriority w:val="9"/>
    <w:rPr>
      <w:rFonts w:eastAsia="黑体"/>
      <w:b/>
      <w:bCs/>
      <w:kern w:val="44"/>
      <w:sz w:val="52"/>
      <w:szCs w:val="44"/>
    </w:rPr>
  </w:style>
  <w:style w:type="character" w:customStyle="1" w:styleId="28">
    <w:name w:val="标题 2 Char"/>
    <w:link w:val="3"/>
    <w:qFormat/>
    <w:uiPriority w:val="9"/>
    <w:rPr>
      <w:rFonts w:ascii="Cambria" w:hAnsi="Cambria" w:eastAsia="黑体" w:cs="黑体"/>
      <w:b/>
      <w:bCs/>
      <w:sz w:val="32"/>
      <w:szCs w:val="32"/>
    </w:rPr>
  </w:style>
  <w:style w:type="character" w:customStyle="1" w:styleId="29">
    <w:name w:val="标题 3 Char"/>
    <w:link w:val="4"/>
    <w:qFormat/>
    <w:uiPriority w:val="9"/>
    <w:rPr>
      <w:rFonts w:ascii="Calibri" w:hAnsi="Calibri" w:eastAsia="黑体" w:cs="黑体"/>
      <w:bCs/>
      <w:sz w:val="28"/>
      <w:szCs w:val="32"/>
    </w:rPr>
  </w:style>
  <w:style w:type="character" w:customStyle="1" w:styleId="30">
    <w:name w:val="批注框文本 Char"/>
    <w:link w:val="9"/>
    <w:semiHidden/>
    <w:qFormat/>
    <w:uiPriority w:val="99"/>
    <w:rPr>
      <w:rFonts w:eastAsia="仿宋_GB2312"/>
      <w:sz w:val="18"/>
      <w:szCs w:val="18"/>
    </w:rPr>
  </w:style>
  <w:style w:type="character" w:customStyle="1" w:styleId="31">
    <w:name w:val="占位符文本1"/>
    <w:semiHidden/>
    <w:qFormat/>
    <w:uiPriority w:val="99"/>
    <w:rPr>
      <w:color w:val="808080"/>
    </w:rPr>
  </w:style>
  <w:style w:type="character" w:customStyle="1" w:styleId="32">
    <w:name w:val="标题 4 Char"/>
    <w:link w:val="5"/>
    <w:semiHidden/>
    <w:qFormat/>
    <w:uiPriority w:val="9"/>
    <w:rPr>
      <w:rFonts w:ascii="Cambria" w:hAnsi="Cambria" w:eastAsia="宋体" w:cs="Times New Roman"/>
      <w:b/>
      <w:bCs/>
      <w:kern w:val="2"/>
      <w:sz w:val="28"/>
      <w:szCs w:val="28"/>
    </w:rPr>
  </w:style>
  <w:style w:type="paragraph" w:customStyle="1" w:styleId="33">
    <w:name w:val="规划正文"/>
    <w:basedOn w:val="1"/>
    <w:qFormat/>
    <w:uiPriority w:val="0"/>
    <w:pPr>
      <w:spacing w:afterLines="50" w:line="480" w:lineRule="exact"/>
    </w:pPr>
    <w:rPr>
      <w:rFonts w:ascii="仿宋_GB2312" w:hAnsi="Times New Roman" w:cs="Times New Roman"/>
      <w:sz w:val="30"/>
      <w:szCs w:val="30"/>
    </w:rPr>
  </w:style>
  <w:style w:type="character" w:customStyle="1" w:styleId="34">
    <w:name w:val="正文文本缩进 3 Char"/>
    <w:link w:val="13"/>
    <w:qFormat/>
    <w:uiPriority w:val="0"/>
    <w:rPr>
      <w:rFonts w:ascii="Calibri" w:hAnsi="Calibri"/>
      <w:kern w:val="2"/>
      <w:sz w:val="16"/>
      <w:szCs w:val="16"/>
    </w:rPr>
  </w:style>
  <w:style w:type="paragraph" w:styleId="35">
    <w:name w:val="List Paragraph"/>
    <w:basedOn w:val="1"/>
    <w:qFormat/>
    <w:uiPriority w:val="34"/>
    <w:pPr>
      <w:spacing w:line="240" w:lineRule="auto"/>
      <w:ind w:firstLine="420"/>
    </w:pPr>
    <w:rPr>
      <w:rFonts w:ascii="Times New Roman" w:hAnsi="Times New Roman" w:eastAsia="宋体" w:cs="Times New Roman"/>
      <w:sz w:val="21"/>
      <w:szCs w:val="20"/>
    </w:rPr>
  </w:style>
  <w:style w:type="character" w:customStyle="1" w:styleId="36">
    <w:name w:val="正文内容 Char"/>
    <w:basedOn w:val="19"/>
    <w:link w:val="37"/>
    <w:qFormat/>
    <w:locked/>
    <w:uiPriority w:val="0"/>
    <w:rPr>
      <w:rFonts w:ascii="仿宋_GB2312" w:eastAsia="仿宋_GB2312"/>
      <w:bCs/>
      <w:color w:val="000000"/>
      <w:kern w:val="2"/>
      <w:sz w:val="32"/>
      <w:szCs w:val="28"/>
      <w:lang w:val="en-GB"/>
    </w:rPr>
  </w:style>
  <w:style w:type="paragraph" w:customStyle="1" w:styleId="37">
    <w:name w:val="正文内容"/>
    <w:basedOn w:val="1"/>
    <w:link w:val="36"/>
    <w:qFormat/>
    <w:uiPriority w:val="0"/>
    <w:pPr>
      <w:overflowPunct w:val="0"/>
      <w:topLinePunct/>
      <w:snapToGrid w:val="0"/>
      <w:spacing w:line="600" w:lineRule="exact"/>
      <w:ind w:firstLine="560" w:firstLineChars="0"/>
    </w:pPr>
    <w:rPr>
      <w:rFonts w:ascii="仿宋_GB2312" w:hAnsi="Times New Roman" w:cs="Times New Roman"/>
      <w:bCs/>
      <w:color w:val="000000"/>
      <w:sz w:val="32"/>
      <w:szCs w:val="28"/>
      <w:lang w:val="en-GB"/>
    </w:rPr>
  </w:style>
  <w:style w:type="paragraph" w:customStyle="1" w:styleId="38">
    <w:name w:val="A  单位"/>
    <w:basedOn w:val="1"/>
    <w:qFormat/>
    <w:uiPriority w:val="0"/>
    <w:pPr>
      <w:snapToGrid w:val="0"/>
      <w:spacing w:line="240" w:lineRule="auto"/>
      <w:ind w:firstLine="0" w:firstLineChars="0"/>
      <w:jc w:val="right"/>
    </w:pPr>
    <w:rPr>
      <w:rFonts w:ascii="Times New Roman" w:hAnsi="Times New Roman" w:eastAsia="黑体" w:cs="Times New Roman"/>
      <w:sz w:val="24"/>
      <w:szCs w:val="24"/>
    </w:rPr>
  </w:style>
  <w:style w:type="paragraph" w:customStyle="1" w:styleId="39">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40">
    <w:name w:val="TOC Heading"/>
    <w:basedOn w:val="2"/>
    <w:next w:val="1"/>
    <w:unhideWhenUsed/>
    <w:qFormat/>
    <w:uiPriority w:val="39"/>
    <w:pPr>
      <w:widowControl/>
      <w:spacing w:before="480" w:after="0" w:line="276" w:lineRule="auto"/>
      <w:ind w:firstLine="0" w:firstLineChars="0"/>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41">
    <w:name w:val="文档结构图 Char"/>
    <w:basedOn w:val="19"/>
    <w:link w:val="6"/>
    <w:semiHidden/>
    <w:qFormat/>
    <w:uiPriority w:val="0"/>
    <w:rPr>
      <w:rFonts w:ascii="宋体" w:hAnsi="Calibri" w:cs="黑体"/>
      <w:kern w:val="2"/>
      <w:sz w:val="18"/>
      <w:szCs w:val="18"/>
    </w:rPr>
  </w:style>
  <w:style w:type="character" w:customStyle="1" w:styleId="42">
    <w:name w:val="批注文字 Char"/>
    <w:basedOn w:val="19"/>
    <w:link w:val="7"/>
    <w:semiHidden/>
    <w:qFormat/>
    <w:uiPriority w:val="0"/>
    <w:rPr>
      <w:rFonts w:ascii="Calibri" w:hAnsi="Calibri" w:eastAsia="仿宋_GB2312" w:cs="黑体"/>
      <w:kern w:val="2"/>
      <w:sz w:val="28"/>
      <w:szCs w:val="22"/>
    </w:rPr>
  </w:style>
  <w:style w:type="character" w:customStyle="1" w:styleId="43">
    <w:name w:val="批注主题 Char"/>
    <w:basedOn w:val="42"/>
    <w:link w:val="16"/>
    <w:semiHidden/>
    <w:qFormat/>
    <w:uiPriority w:val="0"/>
    <w:rPr>
      <w:rFonts w:ascii="Calibri" w:hAnsi="Calibri" w:eastAsia="仿宋_GB2312" w:cs="黑体"/>
      <w:b/>
      <w:bCs/>
      <w:kern w:val="2"/>
      <w:sz w:val="28"/>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04978949651041"/>
          <c:y val="0.017104460134919"/>
          <c:w val="0.961785611342493"/>
          <c:h val="0.775342282369263"/>
        </c:manualLayout>
      </c:layout>
      <c:pie3D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Lbls>
            <c:numFmt formatCode="0.00%" sourceLinked="0"/>
            <c:spPr>
              <a:solidFill>
                <a:schemeClr val="accent1">
                  <a:lumMod val="40000"/>
                  <a:lumOff val="60000"/>
                </a:schemeClr>
              </a:solid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Sheet5!$E$1:$E$15</c:f>
              <c:strCache>
                <c:ptCount val="15"/>
                <c:pt idx="0">
                  <c:v>耕地</c:v>
                </c:pt>
                <c:pt idx="1">
                  <c:v>园地</c:v>
                </c:pt>
                <c:pt idx="2">
                  <c:v>林地</c:v>
                </c:pt>
                <c:pt idx="3">
                  <c:v>其他农用地</c:v>
                </c:pt>
                <c:pt idx="4">
                  <c:v>城市</c:v>
                </c:pt>
                <c:pt idx="5">
                  <c:v>建制镇</c:v>
                </c:pt>
                <c:pt idx="6">
                  <c:v>农村居民点</c:v>
                </c:pt>
                <c:pt idx="7">
                  <c:v>采矿用地</c:v>
                </c:pt>
                <c:pt idx="8">
                  <c:v>铁路用地</c:v>
                </c:pt>
                <c:pt idx="9">
                  <c:v>公路用地</c:v>
                </c:pt>
                <c:pt idx="10">
                  <c:v>水工建筑</c:v>
                </c:pt>
                <c:pt idx="11">
                  <c:v>特殊用地</c:v>
                </c:pt>
                <c:pt idx="12">
                  <c:v>河流水面</c:v>
                </c:pt>
                <c:pt idx="13">
                  <c:v>内陆滩涂</c:v>
                </c:pt>
                <c:pt idx="14">
                  <c:v>自然保留地</c:v>
                </c:pt>
              </c:strCache>
            </c:strRef>
          </c:cat>
          <c:val>
            <c:numRef>
              <c:f>Sheet5!$F$1:$F$15</c:f>
              <c:numCache>
                <c:formatCode>General</c:formatCode>
                <c:ptCount val="15"/>
                <c:pt idx="0">
                  <c:v>52254.85</c:v>
                </c:pt>
                <c:pt idx="1">
                  <c:v>3890.88</c:v>
                </c:pt>
                <c:pt idx="2">
                  <c:v>1036.46</c:v>
                </c:pt>
                <c:pt idx="3">
                  <c:v>3122.98</c:v>
                </c:pt>
                <c:pt idx="4">
                  <c:v>1945.97</c:v>
                </c:pt>
                <c:pt idx="5">
                  <c:v>1334.36</c:v>
                </c:pt>
                <c:pt idx="6">
                  <c:v>12646.31</c:v>
                </c:pt>
                <c:pt idx="7">
                  <c:v>216.74</c:v>
                </c:pt>
                <c:pt idx="8">
                  <c:v>161.41</c:v>
                </c:pt>
                <c:pt idx="9">
                  <c:v>1519.92</c:v>
                </c:pt>
                <c:pt idx="10">
                  <c:v>95.9</c:v>
                </c:pt>
                <c:pt idx="11">
                  <c:v>239.320000000001</c:v>
                </c:pt>
                <c:pt idx="12" c:formatCode="0.00_);\(0.00\)">
                  <c:v>1655.85</c:v>
                </c:pt>
                <c:pt idx="13">
                  <c:v>33.74</c:v>
                </c:pt>
                <c:pt idx="14">
                  <c:v>1125.64</c:v>
                </c:pt>
              </c:numCache>
            </c:numRef>
          </c:val>
        </c:ser>
        <c:dLbls>
          <c:showLegendKey val="0"/>
          <c:showVal val="0"/>
          <c:showCatName val="0"/>
          <c:showSerName val="0"/>
          <c:showPercent val="0"/>
          <c:showBubbleSize val="0"/>
        </c:dLbls>
      </c:pie3DChart>
      <c:spPr>
        <a:noFill/>
        <a:ln w="25411">
          <a:noFill/>
        </a:ln>
      </c:spPr>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1B84BA4-C91A-492D-A841-1063AD851A3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3340</Words>
  <Characters>19041</Characters>
  <Lines>158</Lines>
  <Paragraphs>44</Paragraphs>
  <TotalTime>374</TotalTime>
  <ScaleCrop>false</ScaleCrop>
  <LinksUpToDate>false</LinksUpToDate>
  <CharactersWithSpaces>22337</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2015-09-07T02:07:00Z</dcterms:created>
  <dc:creator>admin</dc:creator>
  <cp:lastModifiedBy>1</cp:lastModifiedBy>
  <cp:lastPrinted>2015-08-19T09:56:00Z</cp:lastPrinted>
  <dcterms:modified xsi:type="dcterms:W3CDTF">2024-02-23T08:37:40Z</dcterms:modified>
  <dc:title>《藁城市土地利用总体规划（2010—2020年）》实施评估报告</dc:title>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