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黑体" w:hAnsi="黑体" w:eastAsia="黑体" w:cstheme="minorBidi"/>
          <w:b w:val="0"/>
          <w:bCs w:val="0"/>
          <w:color w:val="auto"/>
          <w:kern w:val="2"/>
          <w:sz w:val="44"/>
          <w:szCs w:val="44"/>
          <w:lang w:val="zh-CN"/>
        </w:rPr>
        <w:id w:val="588980780"/>
        <w:docPartObj>
          <w:docPartGallery w:val="Table of Contents"/>
          <w:docPartUnique/>
        </w:docPartObj>
      </w:sdtPr>
      <w:sdtEndPr>
        <w:rPr>
          <w:rFonts w:asciiTheme="minorEastAsia" w:hAnsiTheme="minorEastAsia" w:eastAsiaTheme="minorEastAsia" w:cstheme="minorBidi"/>
          <w:b w:val="0"/>
          <w:bCs w:val="0"/>
          <w:color w:val="auto"/>
          <w:kern w:val="2"/>
          <w:sz w:val="24"/>
          <w:szCs w:val="24"/>
          <w:lang w:val="zh-CN"/>
        </w:rPr>
      </w:sdtEndPr>
      <w:sdtContent>
        <w:p w14:paraId="054FF1A6">
          <w:pPr>
            <w:pStyle w:val="25"/>
            <w:jc w:val="center"/>
            <w:rPr>
              <w:rFonts w:ascii="黑体" w:hAnsi="黑体" w:eastAsia="黑体"/>
              <w:color w:val="auto"/>
              <w:sz w:val="44"/>
              <w:szCs w:val="44"/>
              <w:lang w:val="zh-CN"/>
            </w:rPr>
          </w:pPr>
          <w:r>
            <w:rPr>
              <w:rFonts w:ascii="黑体" w:hAnsi="黑体" w:eastAsia="黑体"/>
              <w:color w:val="auto"/>
              <w:sz w:val="44"/>
              <w:szCs w:val="44"/>
              <w:lang w:val="zh-CN"/>
            </w:rPr>
            <w:t>目</w:t>
          </w:r>
          <w:r>
            <w:rPr>
              <w:rFonts w:hint="eastAsia" w:ascii="黑体" w:hAnsi="黑体" w:eastAsia="黑体"/>
              <w:color w:val="auto"/>
              <w:sz w:val="44"/>
              <w:szCs w:val="44"/>
              <w:lang w:val="zh-CN"/>
            </w:rPr>
            <w:t xml:space="preserve"> </w:t>
          </w:r>
          <w:r>
            <w:rPr>
              <w:rFonts w:ascii="黑体" w:hAnsi="黑体" w:eastAsia="黑体"/>
              <w:color w:val="auto"/>
              <w:sz w:val="44"/>
              <w:szCs w:val="44"/>
              <w:lang w:val="zh-CN"/>
            </w:rPr>
            <w:t xml:space="preserve">     录</w:t>
          </w:r>
        </w:p>
        <w:p w14:paraId="56DABD27">
          <w:pPr>
            <w:pStyle w:val="11"/>
            <w:tabs>
              <w:tab w:val="right" w:leader="dot" w:pos="8296"/>
            </w:tabs>
          </w:pPr>
          <w:r>
            <w:rPr>
              <w:rFonts w:asciiTheme="minorEastAsia" w:hAnsiTheme="minorEastAsia"/>
              <w:sz w:val="24"/>
              <w:szCs w:val="24"/>
            </w:rPr>
            <w:fldChar w:fldCharType="begin"/>
          </w:r>
          <w:r>
            <w:rPr>
              <w:rFonts w:asciiTheme="minorEastAsia" w:hAnsiTheme="minorEastAsia"/>
              <w:sz w:val="24"/>
              <w:szCs w:val="24"/>
            </w:rPr>
            <w:instrText xml:space="preserve"> TOC \o "1-3" \h \z \u </w:instrText>
          </w:r>
          <w:r>
            <w:rPr>
              <w:rFonts w:asciiTheme="minorEastAsia" w:hAnsiTheme="minorEastAsia"/>
              <w:sz w:val="24"/>
              <w:szCs w:val="24"/>
            </w:rPr>
            <w:fldChar w:fldCharType="separate"/>
          </w:r>
          <w:r>
            <w:fldChar w:fldCharType="begin"/>
          </w:r>
          <w:r>
            <w:instrText xml:space="preserve"> HYPERLINK \l "_Toc21592046" </w:instrText>
          </w:r>
          <w:r>
            <w:fldChar w:fldCharType="separate"/>
          </w:r>
          <w:r>
            <w:rPr>
              <w:rStyle w:val="17"/>
              <w:rFonts w:hint="eastAsia"/>
            </w:rPr>
            <w:t>一、项目要求、指导标准及政策依据</w:t>
          </w:r>
          <w:r>
            <w:tab/>
          </w:r>
          <w:r>
            <w:fldChar w:fldCharType="begin"/>
          </w:r>
          <w:r>
            <w:instrText xml:space="preserve"> PAGEREF _Toc21592046 \h </w:instrText>
          </w:r>
          <w:r>
            <w:fldChar w:fldCharType="separate"/>
          </w:r>
          <w:r>
            <w:t>1</w:t>
          </w:r>
          <w:r>
            <w:fldChar w:fldCharType="end"/>
          </w:r>
          <w:r>
            <w:fldChar w:fldCharType="end"/>
          </w:r>
        </w:p>
        <w:p w14:paraId="7F247239">
          <w:pPr>
            <w:pStyle w:val="6"/>
            <w:tabs>
              <w:tab w:val="right" w:leader="dot" w:pos="8296"/>
            </w:tabs>
            <w:rPr>
              <w:rFonts w:cstheme="minorBidi"/>
              <w:kern w:val="2"/>
              <w:sz w:val="21"/>
            </w:rPr>
          </w:pPr>
          <w:r>
            <w:fldChar w:fldCharType="begin"/>
          </w:r>
          <w:r>
            <w:instrText xml:space="preserve"> HYPERLINK \l "_Toc21592047" </w:instrText>
          </w:r>
          <w:r>
            <w:fldChar w:fldCharType="separate"/>
          </w:r>
          <w:r>
            <w:rPr>
              <w:rStyle w:val="17"/>
              <w:rFonts w:hint="eastAsia"/>
            </w:rPr>
            <w:t>（一）目标要求</w:t>
          </w:r>
          <w:r>
            <w:tab/>
          </w:r>
          <w:r>
            <w:fldChar w:fldCharType="begin"/>
          </w:r>
          <w:r>
            <w:instrText xml:space="preserve"> PAGEREF _Toc21592047 \h </w:instrText>
          </w:r>
          <w:r>
            <w:fldChar w:fldCharType="separate"/>
          </w:r>
          <w:r>
            <w:t>1</w:t>
          </w:r>
          <w:r>
            <w:fldChar w:fldCharType="end"/>
          </w:r>
          <w:r>
            <w:fldChar w:fldCharType="end"/>
          </w:r>
        </w:p>
        <w:p w14:paraId="0D12376F">
          <w:pPr>
            <w:pStyle w:val="6"/>
            <w:tabs>
              <w:tab w:val="right" w:leader="dot" w:pos="8296"/>
            </w:tabs>
            <w:rPr>
              <w:rFonts w:cstheme="minorBidi"/>
              <w:kern w:val="2"/>
              <w:sz w:val="21"/>
            </w:rPr>
          </w:pPr>
          <w:r>
            <w:fldChar w:fldCharType="begin"/>
          </w:r>
          <w:r>
            <w:instrText xml:space="preserve"> HYPERLINK \l "_Toc21592048" </w:instrText>
          </w:r>
          <w:r>
            <w:fldChar w:fldCharType="separate"/>
          </w:r>
          <w:r>
            <w:rPr>
              <w:rStyle w:val="17"/>
              <w:rFonts w:hint="eastAsia"/>
            </w:rPr>
            <w:t>（二）评价标准</w:t>
          </w:r>
          <w:r>
            <w:tab/>
          </w:r>
          <w:r>
            <w:fldChar w:fldCharType="begin"/>
          </w:r>
          <w:r>
            <w:instrText xml:space="preserve"> PAGEREF _Toc21592048 \h </w:instrText>
          </w:r>
          <w:r>
            <w:fldChar w:fldCharType="separate"/>
          </w:r>
          <w:r>
            <w:t>2</w:t>
          </w:r>
          <w:r>
            <w:fldChar w:fldCharType="end"/>
          </w:r>
          <w:r>
            <w:fldChar w:fldCharType="end"/>
          </w:r>
        </w:p>
        <w:p w14:paraId="59DFA679">
          <w:pPr>
            <w:pStyle w:val="6"/>
            <w:tabs>
              <w:tab w:val="right" w:leader="dot" w:pos="8296"/>
            </w:tabs>
            <w:rPr>
              <w:rFonts w:cstheme="minorBidi"/>
              <w:kern w:val="2"/>
              <w:sz w:val="21"/>
            </w:rPr>
          </w:pPr>
          <w:r>
            <w:fldChar w:fldCharType="begin"/>
          </w:r>
          <w:r>
            <w:instrText xml:space="preserve"> HYPERLINK \l "_Toc21592049" </w:instrText>
          </w:r>
          <w:r>
            <w:fldChar w:fldCharType="separate"/>
          </w:r>
          <w:r>
            <w:rPr>
              <w:rStyle w:val="17"/>
              <w:rFonts w:hint="eastAsia"/>
            </w:rPr>
            <w:t>（三）评价范围</w:t>
          </w:r>
          <w:r>
            <w:tab/>
          </w:r>
          <w:r>
            <w:fldChar w:fldCharType="begin"/>
          </w:r>
          <w:r>
            <w:instrText xml:space="preserve"> PAGEREF _Toc21592049 \h </w:instrText>
          </w:r>
          <w:r>
            <w:fldChar w:fldCharType="separate"/>
          </w:r>
          <w:r>
            <w:t>2</w:t>
          </w:r>
          <w:r>
            <w:fldChar w:fldCharType="end"/>
          </w:r>
          <w:r>
            <w:fldChar w:fldCharType="end"/>
          </w:r>
        </w:p>
        <w:p w14:paraId="6E124ABB">
          <w:pPr>
            <w:pStyle w:val="6"/>
            <w:tabs>
              <w:tab w:val="right" w:leader="dot" w:pos="8296"/>
            </w:tabs>
            <w:rPr>
              <w:rFonts w:cstheme="minorBidi"/>
              <w:kern w:val="2"/>
              <w:sz w:val="21"/>
            </w:rPr>
          </w:pPr>
          <w:r>
            <w:fldChar w:fldCharType="begin"/>
          </w:r>
          <w:r>
            <w:instrText xml:space="preserve"> HYPERLINK \l "_Toc21592050" </w:instrText>
          </w:r>
          <w:r>
            <w:fldChar w:fldCharType="separate"/>
          </w:r>
          <w:r>
            <w:rPr>
              <w:rStyle w:val="17"/>
              <w:rFonts w:hint="eastAsia"/>
            </w:rPr>
            <w:t>（四）项目政策依据</w:t>
          </w:r>
          <w:r>
            <w:tab/>
          </w:r>
          <w:r>
            <w:fldChar w:fldCharType="begin"/>
          </w:r>
          <w:r>
            <w:instrText xml:space="preserve"> PAGEREF _Toc21592050 \h </w:instrText>
          </w:r>
          <w:r>
            <w:fldChar w:fldCharType="separate"/>
          </w:r>
          <w:r>
            <w:t>2</w:t>
          </w:r>
          <w:r>
            <w:fldChar w:fldCharType="end"/>
          </w:r>
          <w:r>
            <w:fldChar w:fldCharType="end"/>
          </w:r>
        </w:p>
        <w:p w14:paraId="4F0794C6">
          <w:pPr>
            <w:pStyle w:val="11"/>
            <w:tabs>
              <w:tab w:val="right" w:leader="dot" w:pos="8296"/>
            </w:tabs>
          </w:pPr>
          <w:r>
            <w:fldChar w:fldCharType="begin"/>
          </w:r>
          <w:r>
            <w:instrText xml:space="preserve"> HYPERLINK \l "_Toc21592051" </w:instrText>
          </w:r>
          <w:r>
            <w:fldChar w:fldCharType="separate"/>
          </w:r>
          <w:r>
            <w:rPr>
              <w:rStyle w:val="17"/>
              <w:rFonts w:hint="eastAsia"/>
            </w:rPr>
            <w:t>二、绩效评价组织情况及绩效评价指标分析情况</w:t>
          </w:r>
          <w:r>
            <w:tab/>
          </w:r>
          <w:r>
            <w:fldChar w:fldCharType="begin"/>
          </w:r>
          <w:r>
            <w:instrText xml:space="preserve"> PAGEREF _Toc21592051 \h </w:instrText>
          </w:r>
          <w:r>
            <w:fldChar w:fldCharType="separate"/>
          </w:r>
          <w:r>
            <w:t>2</w:t>
          </w:r>
          <w:r>
            <w:fldChar w:fldCharType="end"/>
          </w:r>
          <w:r>
            <w:fldChar w:fldCharType="end"/>
          </w:r>
        </w:p>
        <w:p w14:paraId="724A6793">
          <w:pPr>
            <w:pStyle w:val="6"/>
            <w:tabs>
              <w:tab w:val="right" w:leader="dot" w:pos="8296"/>
            </w:tabs>
            <w:rPr>
              <w:rFonts w:cstheme="minorBidi"/>
              <w:kern w:val="2"/>
              <w:sz w:val="21"/>
            </w:rPr>
          </w:pPr>
          <w:r>
            <w:fldChar w:fldCharType="begin"/>
          </w:r>
          <w:r>
            <w:instrText xml:space="preserve"> HYPERLINK \l "_Toc21592052" </w:instrText>
          </w:r>
          <w:r>
            <w:fldChar w:fldCharType="separate"/>
          </w:r>
          <w:r>
            <w:rPr>
              <w:rStyle w:val="17"/>
              <w:rFonts w:hint="eastAsia"/>
            </w:rPr>
            <w:t>（一）绩效评价目的</w:t>
          </w:r>
          <w:r>
            <w:tab/>
          </w:r>
          <w:r>
            <w:fldChar w:fldCharType="begin"/>
          </w:r>
          <w:r>
            <w:instrText xml:space="preserve"> PAGEREF _Toc21592052 \h </w:instrText>
          </w:r>
          <w:r>
            <w:fldChar w:fldCharType="separate"/>
          </w:r>
          <w:r>
            <w:t>2</w:t>
          </w:r>
          <w:r>
            <w:fldChar w:fldCharType="end"/>
          </w:r>
          <w:r>
            <w:fldChar w:fldCharType="end"/>
          </w:r>
        </w:p>
        <w:p w14:paraId="520F9556">
          <w:pPr>
            <w:pStyle w:val="6"/>
            <w:tabs>
              <w:tab w:val="right" w:leader="dot" w:pos="8296"/>
            </w:tabs>
            <w:rPr>
              <w:rFonts w:cstheme="minorBidi"/>
              <w:kern w:val="2"/>
              <w:sz w:val="21"/>
            </w:rPr>
          </w:pPr>
          <w:r>
            <w:fldChar w:fldCharType="begin"/>
          </w:r>
          <w:r>
            <w:instrText xml:space="preserve"> HYPERLINK \l "_Toc21592053" </w:instrText>
          </w:r>
          <w:r>
            <w:fldChar w:fldCharType="separate"/>
          </w:r>
          <w:r>
            <w:rPr>
              <w:rStyle w:val="17"/>
              <w:rFonts w:hint="eastAsia"/>
            </w:rPr>
            <w:t>（二）绩效评价标准和评价方法</w:t>
          </w:r>
          <w:r>
            <w:tab/>
          </w:r>
          <w:r>
            <w:fldChar w:fldCharType="begin"/>
          </w:r>
          <w:r>
            <w:instrText xml:space="preserve"> PAGEREF _Toc21592053 \h </w:instrText>
          </w:r>
          <w:r>
            <w:fldChar w:fldCharType="separate"/>
          </w:r>
          <w:r>
            <w:t>2</w:t>
          </w:r>
          <w:r>
            <w:fldChar w:fldCharType="end"/>
          </w:r>
          <w:r>
            <w:fldChar w:fldCharType="end"/>
          </w:r>
        </w:p>
        <w:p w14:paraId="676D0A82">
          <w:pPr>
            <w:pStyle w:val="6"/>
            <w:tabs>
              <w:tab w:val="right" w:leader="dot" w:pos="8296"/>
            </w:tabs>
            <w:rPr>
              <w:rFonts w:cstheme="minorBidi"/>
              <w:kern w:val="2"/>
              <w:sz w:val="21"/>
            </w:rPr>
          </w:pPr>
          <w:r>
            <w:fldChar w:fldCharType="begin"/>
          </w:r>
          <w:r>
            <w:instrText xml:space="preserve"> HYPERLINK \l "_Toc21592054" </w:instrText>
          </w:r>
          <w:r>
            <w:fldChar w:fldCharType="separate"/>
          </w:r>
          <w:r>
            <w:rPr>
              <w:rStyle w:val="17"/>
              <w:rFonts w:hint="eastAsia"/>
            </w:rPr>
            <w:t>（三）绩效评价实施过程</w:t>
          </w:r>
          <w:r>
            <w:tab/>
          </w:r>
          <w:r>
            <w:fldChar w:fldCharType="begin"/>
          </w:r>
          <w:r>
            <w:instrText xml:space="preserve"> PAGEREF _Toc21592054 \h </w:instrText>
          </w:r>
          <w:r>
            <w:fldChar w:fldCharType="separate"/>
          </w:r>
          <w:r>
            <w:t>3</w:t>
          </w:r>
          <w:r>
            <w:fldChar w:fldCharType="end"/>
          </w:r>
          <w:r>
            <w:fldChar w:fldCharType="end"/>
          </w:r>
        </w:p>
        <w:p w14:paraId="25D803B5">
          <w:pPr>
            <w:pStyle w:val="10"/>
            <w:tabs>
              <w:tab w:val="right" w:leader="dot" w:pos="8296"/>
            </w:tabs>
          </w:pPr>
          <w:r>
            <w:fldChar w:fldCharType="begin"/>
          </w:r>
          <w:r>
            <w:instrText xml:space="preserve"> HYPERLINK \l "_Toc21592055" </w:instrText>
          </w:r>
          <w:r>
            <w:fldChar w:fldCharType="separate"/>
          </w:r>
          <w:r>
            <w:rPr>
              <w:rStyle w:val="17"/>
              <w:rFonts w:hint="eastAsia"/>
            </w:rPr>
            <w:t>三、资金使用情况</w:t>
          </w:r>
          <w:r>
            <w:tab/>
          </w:r>
          <w:r>
            <w:fldChar w:fldCharType="begin"/>
          </w:r>
          <w:r>
            <w:instrText xml:space="preserve"> PAGEREF _Toc21592055 \h </w:instrText>
          </w:r>
          <w:r>
            <w:fldChar w:fldCharType="separate"/>
          </w:r>
          <w:r>
            <w:t>3</w:t>
          </w:r>
          <w:r>
            <w:fldChar w:fldCharType="end"/>
          </w:r>
          <w:r>
            <w:fldChar w:fldCharType="end"/>
          </w:r>
        </w:p>
        <w:p w14:paraId="160F0BD2">
          <w:pPr>
            <w:pStyle w:val="6"/>
            <w:tabs>
              <w:tab w:val="right" w:leader="dot" w:pos="8296"/>
            </w:tabs>
            <w:rPr>
              <w:rFonts w:cstheme="minorBidi"/>
              <w:kern w:val="2"/>
              <w:sz w:val="21"/>
            </w:rPr>
          </w:pPr>
          <w:r>
            <w:fldChar w:fldCharType="begin"/>
          </w:r>
          <w:r>
            <w:instrText xml:space="preserve"> HYPERLINK \l "_Toc21592056" </w:instrText>
          </w:r>
          <w:r>
            <w:fldChar w:fldCharType="separate"/>
          </w:r>
          <w:r>
            <w:rPr>
              <w:rStyle w:val="17"/>
              <w:rFonts w:hint="eastAsia"/>
            </w:rPr>
            <w:t>（一）资金落实情况</w:t>
          </w:r>
          <w:r>
            <w:tab/>
          </w:r>
          <w:r>
            <w:fldChar w:fldCharType="begin"/>
          </w:r>
          <w:r>
            <w:instrText xml:space="preserve"> PAGEREF _Toc21592056 \h </w:instrText>
          </w:r>
          <w:r>
            <w:fldChar w:fldCharType="separate"/>
          </w:r>
          <w:r>
            <w:t>3</w:t>
          </w:r>
          <w:r>
            <w:fldChar w:fldCharType="end"/>
          </w:r>
          <w:r>
            <w:fldChar w:fldCharType="end"/>
          </w:r>
        </w:p>
        <w:p w14:paraId="14A96911">
          <w:pPr>
            <w:pStyle w:val="6"/>
            <w:tabs>
              <w:tab w:val="right" w:leader="dot" w:pos="8296"/>
            </w:tabs>
            <w:rPr>
              <w:rFonts w:cstheme="minorBidi"/>
              <w:kern w:val="2"/>
              <w:sz w:val="21"/>
            </w:rPr>
          </w:pPr>
          <w:r>
            <w:fldChar w:fldCharType="begin"/>
          </w:r>
          <w:r>
            <w:instrText xml:space="preserve"> HYPERLINK \l "_Toc21592057" </w:instrText>
          </w:r>
          <w:r>
            <w:fldChar w:fldCharType="separate"/>
          </w:r>
          <w:r>
            <w:rPr>
              <w:rStyle w:val="17"/>
              <w:rFonts w:hint="eastAsia"/>
            </w:rPr>
            <w:t>（二）项目开展情况</w:t>
          </w:r>
          <w:r>
            <w:tab/>
          </w:r>
          <w:r>
            <w:fldChar w:fldCharType="begin"/>
          </w:r>
          <w:r>
            <w:instrText xml:space="preserve"> PAGEREF _Toc21592057 \h </w:instrText>
          </w:r>
          <w:r>
            <w:fldChar w:fldCharType="separate"/>
          </w:r>
          <w:r>
            <w:t>4</w:t>
          </w:r>
          <w:r>
            <w:fldChar w:fldCharType="end"/>
          </w:r>
          <w:r>
            <w:fldChar w:fldCharType="end"/>
          </w:r>
        </w:p>
        <w:p w14:paraId="72B9C609">
          <w:pPr>
            <w:pStyle w:val="11"/>
            <w:tabs>
              <w:tab w:val="right" w:leader="dot" w:pos="8296"/>
            </w:tabs>
          </w:pPr>
          <w:r>
            <w:fldChar w:fldCharType="begin"/>
          </w:r>
          <w:r>
            <w:instrText xml:space="preserve"> HYPERLINK \l "_Toc21592058" </w:instrText>
          </w:r>
          <w:r>
            <w:fldChar w:fldCharType="separate"/>
          </w:r>
          <w:r>
            <w:rPr>
              <w:rStyle w:val="17"/>
              <w:rFonts w:hint="eastAsia"/>
            </w:rPr>
            <w:t>四、绩效评价结果及分析</w:t>
          </w:r>
          <w:r>
            <w:tab/>
          </w:r>
          <w:r>
            <w:fldChar w:fldCharType="begin"/>
          </w:r>
          <w:r>
            <w:instrText xml:space="preserve"> PAGEREF _Toc21592058 \h </w:instrText>
          </w:r>
          <w:r>
            <w:fldChar w:fldCharType="separate"/>
          </w:r>
          <w:r>
            <w:t>5</w:t>
          </w:r>
          <w:r>
            <w:fldChar w:fldCharType="end"/>
          </w:r>
          <w:r>
            <w:fldChar w:fldCharType="end"/>
          </w:r>
        </w:p>
        <w:p w14:paraId="2C18D48D">
          <w:pPr>
            <w:pStyle w:val="11"/>
            <w:tabs>
              <w:tab w:val="right" w:leader="dot" w:pos="8296"/>
            </w:tabs>
          </w:pPr>
          <w:r>
            <w:fldChar w:fldCharType="begin"/>
          </w:r>
          <w:r>
            <w:instrText xml:space="preserve"> HYPERLINK \l "_Toc21592059" </w:instrText>
          </w:r>
          <w:r>
            <w:fldChar w:fldCharType="separate"/>
          </w:r>
          <w:r>
            <w:rPr>
              <w:rStyle w:val="17"/>
              <w:rFonts w:hint="eastAsia"/>
            </w:rPr>
            <w:t>（一）项目投入</w:t>
          </w:r>
          <w:r>
            <w:tab/>
          </w:r>
          <w:r>
            <w:fldChar w:fldCharType="begin"/>
          </w:r>
          <w:r>
            <w:instrText xml:space="preserve"> PAGEREF _Toc21592059 \h </w:instrText>
          </w:r>
          <w:r>
            <w:fldChar w:fldCharType="separate"/>
          </w:r>
          <w:r>
            <w:t>5</w:t>
          </w:r>
          <w:r>
            <w:fldChar w:fldCharType="end"/>
          </w:r>
          <w:r>
            <w:fldChar w:fldCharType="end"/>
          </w:r>
        </w:p>
        <w:p w14:paraId="77061248">
          <w:pPr>
            <w:pStyle w:val="11"/>
            <w:tabs>
              <w:tab w:val="right" w:leader="dot" w:pos="8296"/>
            </w:tabs>
          </w:pPr>
          <w:r>
            <w:fldChar w:fldCharType="begin"/>
          </w:r>
          <w:r>
            <w:instrText xml:space="preserve"> HYPERLINK \l "_Toc21592060" </w:instrText>
          </w:r>
          <w:r>
            <w:fldChar w:fldCharType="separate"/>
          </w:r>
          <w:r>
            <w:rPr>
              <w:rStyle w:val="17"/>
              <w:rFonts w:hint="eastAsia"/>
            </w:rPr>
            <w:t>（二）项目实施过程</w:t>
          </w:r>
          <w:r>
            <w:tab/>
          </w:r>
          <w:r>
            <w:fldChar w:fldCharType="begin"/>
          </w:r>
          <w:r>
            <w:instrText xml:space="preserve"> PAGEREF _Toc21592060 \h </w:instrText>
          </w:r>
          <w:r>
            <w:fldChar w:fldCharType="separate"/>
          </w:r>
          <w:r>
            <w:t>6</w:t>
          </w:r>
          <w:r>
            <w:fldChar w:fldCharType="end"/>
          </w:r>
          <w:r>
            <w:fldChar w:fldCharType="end"/>
          </w:r>
        </w:p>
        <w:p w14:paraId="64B05B14">
          <w:pPr>
            <w:pStyle w:val="11"/>
            <w:tabs>
              <w:tab w:val="right" w:leader="dot" w:pos="8296"/>
            </w:tabs>
          </w:pPr>
          <w:r>
            <w:fldChar w:fldCharType="begin"/>
          </w:r>
          <w:r>
            <w:instrText xml:space="preserve"> HYPERLINK \l "_Toc21592061" </w:instrText>
          </w:r>
          <w:r>
            <w:fldChar w:fldCharType="separate"/>
          </w:r>
          <w:r>
            <w:rPr>
              <w:rStyle w:val="17"/>
              <w:rFonts w:hint="eastAsia"/>
            </w:rPr>
            <w:t>（三）项目产出</w:t>
          </w:r>
          <w:r>
            <w:tab/>
          </w:r>
          <w:r>
            <w:fldChar w:fldCharType="begin"/>
          </w:r>
          <w:r>
            <w:instrText xml:space="preserve"> PAGEREF _Toc21592061 \h </w:instrText>
          </w:r>
          <w:r>
            <w:fldChar w:fldCharType="separate"/>
          </w:r>
          <w:r>
            <w:t>7</w:t>
          </w:r>
          <w:r>
            <w:fldChar w:fldCharType="end"/>
          </w:r>
          <w:r>
            <w:fldChar w:fldCharType="end"/>
          </w:r>
        </w:p>
        <w:p w14:paraId="5EC28745">
          <w:pPr>
            <w:pStyle w:val="11"/>
            <w:tabs>
              <w:tab w:val="right" w:leader="dot" w:pos="8296"/>
            </w:tabs>
          </w:pPr>
          <w:r>
            <w:fldChar w:fldCharType="begin"/>
          </w:r>
          <w:r>
            <w:instrText xml:space="preserve"> HYPERLINK \l "_Toc21592062" </w:instrText>
          </w:r>
          <w:r>
            <w:fldChar w:fldCharType="separate"/>
          </w:r>
          <w:r>
            <w:rPr>
              <w:rStyle w:val="17"/>
              <w:rFonts w:hint="eastAsia"/>
            </w:rPr>
            <w:t>（四）项目效果</w:t>
          </w:r>
          <w:r>
            <w:tab/>
          </w:r>
          <w:r>
            <w:fldChar w:fldCharType="begin"/>
          </w:r>
          <w:r>
            <w:instrText xml:space="preserve"> PAGEREF _Toc21592062 \h </w:instrText>
          </w:r>
          <w:r>
            <w:fldChar w:fldCharType="separate"/>
          </w:r>
          <w:r>
            <w:t>8</w:t>
          </w:r>
          <w:r>
            <w:fldChar w:fldCharType="end"/>
          </w:r>
          <w:r>
            <w:fldChar w:fldCharType="end"/>
          </w:r>
        </w:p>
        <w:p w14:paraId="78F97C91">
          <w:pPr>
            <w:pStyle w:val="11"/>
            <w:tabs>
              <w:tab w:val="right" w:leader="dot" w:pos="8296"/>
            </w:tabs>
          </w:pPr>
          <w:r>
            <w:fldChar w:fldCharType="begin"/>
          </w:r>
          <w:r>
            <w:instrText xml:space="preserve"> HYPERLINK \l "_Toc21592063" </w:instrText>
          </w:r>
          <w:r>
            <w:fldChar w:fldCharType="separate"/>
          </w:r>
          <w:r>
            <w:rPr>
              <w:rStyle w:val="17"/>
              <w:rFonts w:hint="eastAsia"/>
            </w:rPr>
            <w:t>五、存在的问题和建议</w:t>
          </w:r>
          <w:r>
            <w:tab/>
          </w:r>
          <w:r>
            <w:fldChar w:fldCharType="begin"/>
          </w:r>
          <w:r>
            <w:instrText xml:space="preserve"> PAGEREF _Toc21592063 \h </w:instrText>
          </w:r>
          <w:r>
            <w:fldChar w:fldCharType="separate"/>
          </w:r>
          <w:r>
            <w:t>8</w:t>
          </w:r>
          <w:r>
            <w:fldChar w:fldCharType="end"/>
          </w:r>
          <w:r>
            <w:fldChar w:fldCharType="end"/>
          </w:r>
        </w:p>
        <w:p w14:paraId="09123F05">
          <w:pPr>
            <w:spacing w:line="360" w:lineRule="auto"/>
            <w:rPr>
              <w:rFonts w:asciiTheme="minorEastAsia" w:hAnsiTheme="minorEastAsia"/>
              <w:sz w:val="24"/>
              <w:szCs w:val="24"/>
            </w:rPr>
            <w:sectPr>
              <w:footerReference r:id="rId3" w:type="default"/>
              <w:pgSz w:w="11906" w:h="16838"/>
              <w:pgMar w:top="1440" w:right="1800" w:bottom="1440" w:left="1800" w:header="851" w:footer="992" w:gutter="0"/>
              <w:cols w:space="425" w:num="1"/>
              <w:docGrid w:type="lines" w:linePitch="312" w:charSpace="0"/>
            </w:sectPr>
          </w:pPr>
          <w:r>
            <w:rPr>
              <w:rFonts w:asciiTheme="minorEastAsia" w:hAnsiTheme="minorEastAsia"/>
              <w:b/>
              <w:bCs/>
              <w:sz w:val="24"/>
              <w:szCs w:val="24"/>
              <w:lang w:val="zh-CN"/>
            </w:rPr>
            <w:fldChar w:fldCharType="end"/>
          </w:r>
        </w:p>
      </w:sdtContent>
    </w:sdt>
    <w:p w14:paraId="13BDDEBE">
      <w:pPr>
        <w:spacing w:line="520" w:lineRule="exact"/>
        <w:rPr>
          <w:rFonts w:ascii="Times New Roman" w:hAnsi="Times New Roman" w:eastAsia="宋体" w:cs="Times New Roman"/>
          <w:b/>
          <w:kern w:val="15"/>
          <w:sz w:val="48"/>
          <w:szCs w:val="48"/>
        </w:rPr>
      </w:pPr>
    </w:p>
    <w:p w14:paraId="54C02512">
      <w:pPr>
        <w:ind w:firstLine="560" w:firstLineChars="200"/>
        <w:jc w:val="left"/>
        <w:rPr>
          <w:sz w:val="28"/>
          <w:szCs w:val="28"/>
        </w:rPr>
      </w:pPr>
      <w:r>
        <w:rPr>
          <w:rFonts w:hint="eastAsia"/>
          <w:sz w:val="28"/>
          <w:szCs w:val="28"/>
        </w:rPr>
        <w:t>根据《石家庄市财政局关于开展财政资金绩效评价的通知》要求我局对石家庄市藁城区疾病预防控制中心（含卫生监督所）业务用房项目经费的财务基础工作、预算执行、项目资金使用进行了绩效评价。石家庄市藁城区疾病预防控制中心（以下简称藁城区疾控中心）对其提供的财务会计资料以及其他相关资料的真实性和完整性负责，并对此做出了书面承诺。</w:t>
      </w:r>
    </w:p>
    <w:p w14:paraId="0FFC41AF">
      <w:pPr>
        <w:pStyle w:val="3"/>
        <w:ind w:firstLine="562" w:firstLineChars="200"/>
      </w:pPr>
      <w:bookmarkStart w:id="0" w:name="_Toc21592046"/>
      <w:r>
        <w:rPr>
          <w:rFonts w:hint="eastAsia"/>
        </w:rPr>
        <w:t>一、项目要求、指导标准及政策依据</w:t>
      </w:r>
      <w:bookmarkEnd w:id="0"/>
    </w:p>
    <w:p w14:paraId="05AC7248">
      <w:pPr>
        <w:pStyle w:val="4"/>
        <w:ind w:firstLine="562" w:firstLineChars="200"/>
      </w:pPr>
      <w:bookmarkStart w:id="1" w:name="_Toc21592047"/>
      <w:r>
        <w:rPr>
          <w:rFonts w:hint="eastAsia"/>
        </w:rPr>
        <w:t>（一）目标要求</w:t>
      </w:r>
      <w:bookmarkEnd w:id="1"/>
      <w:r>
        <w:rPr>
          <w:rFonts w:hint="eastAsia"/>
        </w:rPr>
        <w:t xml:space="preserve"> </w:t>
      </w:r>
    </w:p>
    <w:p w14:paraId="592F60A9">
      <w:pPr>
        <w:ind w:firstLine="560" w:firstLineChars="200"/>
        <w:rPr>
          <w:sz w:val="28"/>
          <w:szCs w:val="28"/>
        </w:rPr>
      </w:pPr>
      <w:r>
        <w:rPr>
          <w:rFonts w:hint="eastAsia"/>
          <w:sz w:val="28"/>
          <w:szCs w:val="28"/>
        </w:rPr>
        <w:t>为了给群众提供方便快捷高效的公共卫生服务，本着“整合资源、互联互通、集中办公、方便群众”的原则，藁城区卫生局于2014年8月7日报藁城区政府，建设公共卫生服务中心，2015年4月藁城区政府领导同意建设，藁城区疾控中心（含卫生监督所）综合楼一幢，经设计总建筑面积5800.66平方米，主要建设业务用房面积4987.36平方米、附属用房813.30平方米及配套设施，总估算投资1139万元。</w:t>
      </w:r>
      <w:r>
        <w:rPr>
          <w:sz w:val="28"/>
          <w:szCs w:val="28"/>
        </w:rPr>
        <w:t xml:space="preserve"> </w:t>
      </w:r>
    </w:p>
    <w:p w14:paraId="1BE4D6E4">
      <w:pPr>
        <w:pStyle w:val="4"/>
        <w:ind w:firstLine="562" w:firstLineChars="200"/>
      </w:pPr>
      <w:bookmarkStart w:id="2" w:name="_Toc21592048"/>
      <w:r>
        <w:rPr>
          <w:rFonts w:hint="eastAsia"/>
        </w:rPr>
        <w:t>（二）评价标准</w:t>
      </w:r>
      <w:bookmarkEnd w:id="2"/>
    </w:p>
    <w:p w14:paraId="4419EBAF">
      <w:pPr>
        <w:ind w:firstLine="560" w:firstLineChars="200"/>
        <w:jc w:val="left"/>
        <w:rPr>
          <w:sz w:val="28"/>
          <w:szCs w:val="28"/>
        </w:rPr>
      </w:pPr>
      <w:r>
        <w:rPr>
          <w:rFonts w:hint="eastAsia"/>
          <w:sz w:val="28"/>
          <w:szCs w:val="28"/>
        </w:rPr>
        <w:t>根据2019年4月10日石家庄市财政局《石家庄市财政局关于开展2018年度财政专项资金部门绩效自评价工作的通知》（石财绩〔2019〕1号）。（评价表见附件）</w:t>
      </w:r>
    </w:p>
    <w:p w14:paraId="0376E08D">
      <w:pPr>
        <w:pStyle w:val="4"/>
        <w:ind w:firstLine="562" w:firstLineChars="200"/>
      </w:pPr>
      <w:bookmarkStart w:id="3" w:name="_Toc21592049"/>
      <w:r>
        <w:rPr>
          <w:rFonts w:hint="eastAsia"/>
        </w:rPr>
        <w:t>（三）评价范围</w:t>
      </w:r>
      <w:bookmarkEnd w:id="3"/>
    </w:p>
    <w:p w14:paraId="110778FD">
      <w:pPr>
        <w:ind w:firstLine="560" w:firstLineChars="200"/>
        <w:jc w:val="left"/>
        <w:rPr>
          <w:sz w:val="28"/>
          <w:szCs w:val="28"/>
        </w:rPr>
      </w:pPr>
      <w:r>
        <w:rPr>
          <w:rFonts w:hint="eastAsia"/>
          <w:sz w:val="28"/>
          <w:szCs w:val="28"/>
        </w:rPr>
        <w:t>对2015年12月至2018年11月藁城区疾控中心（含卫生监督所)业务用房项目工程建设经费1630.23万元进行绩效评价。</w:t>
      </w:r>
    </w:p>
    <w:p w14:paraId="3FA23A1D">
      <w:pPr>
        <w:pStyle w:val="4"/>
        <w:ind w:firstLine="562" w:firstLineChars="200"/>
      </w:pPr>
      <w:bookmarkStart w:id="4" w:name="_Toc21592050"/>
      <w:r>
        <w:rPr>
          <w:rFonts w:hint="eastAsia"/>
        </w:rPr>
        <w:t>（四）项目政策依据</w:t>
      </w:r>
      <w:bookmarkEnd w:id="4"/>
    </w:p>
    <w:p w14:paraId="6E8209B6">
      <w:pPr>
        <w:ind w:firstLine="560" w:firstLineChars="200"/>
        <w:jc w:val="left"/>
        <w:rPr>
          <w:sz w:val="28"/>
          <w:szCs w:val="28"/>
        </w:rPr>
      </w:pPr>
      <w:r>
        <w:rPr>
          <w:rFonts w:hint="eastAsia"/>
          <w:sz w:val="28"/>
          <w:szCs w:val="28"/>
        </w:rPr>
        <w:t>1、2016年4月20日石家庄市藁城区发展改革局《关于藁城区疾病预防控制中心（含卫生监督所）业务用房项目可行性研究报告的批复》藁发改【2016】39号文</w:t>
      </w:r>
    </w:p>
    <w:p w14:paraId="5418815A">
      <w:pPr>
        <w:pStyle w:val="3"/>
        <w:ind w:firstLine="562" w:firstLineChars="200"/>
      </w:pPr>
      <w:bookmarkStart w:id="5" w:name="_Toc21592051"/>
      <w:r>
        <w:rPr>
          <w:rFonts w:hint="eastAsia"/>
        </w:rPr>
        <w:t>二、绩效评价组织情况及绩效评价指标分析情况</w:t>
      </w:r>
      <w:bookmarkEnd w:id="5"/>
    </w:p>
    <w:p w14:paraId="0CA4657A">
      <w:pPr>
        <w:pStyle w:val="4"/>
        <w:ind w:firstLine="562" w:firstLineChars="200"/>
      </w:pPr>
      <w:bookmarkStart w:id="6" w:name="_Toc21592052"/>
      <w:r>
        <w:rPr>
          <w:rFonts w:hint="eastAsia"/>
        </w:rPr>
        <w:t>（一）绩效评价目的</w:t>
      </w:r>
      <w:bookmarkEnd w:id="6"/>
    </w:p>
    <w:p w14:paraId="3239D3F8">
      <w:pPr>
        <w:ind w:firstLine="560" w:firstLineChars="200"/>
        <w:jc w:val="left"/>
        <w:rPr>
          <w:sz w:val="28"/>
          <w:szCs w:val="28"/>
        </w:rPr>
      </w:pPr>
      <w:r>
        <w:rPr>
          <w:rFonts w:hint="eastAsia"/>
          <w:sz w:val="28"/>
          <w:szCs w:val="28"/>
        </w:rPr>
        <w:t>通过绩效评价，加强财政支出管理，强化支出责任，提高财政资金的使用效益。根据绩效评价中发现的问题，及时调整和优化部门以后年度预算支出的方向和结构，加强财务管理，合理配置资源。</w:t>
      </w:r>
    </w:p>
    <w:p w14:paraId="3ADBB9F0">
      <w:pPr>
        <w:pStyle w:val="4"/>
        <w:ind w:firstLine="562" w:firstLineChars="200"/>
      </w:pPr>
      <w:bookmarkStart w:id="7" w:name="_Toc21592053"/>
      <w:r>
        <w:rPr>
          <w:rFonts w:hint="eastAsia"/>
        </w:rPr>
        <w:t>（二）绩效评价标准和评价方法</w:t>
      </w:r>
      <w:bookmarkEnd w:id="7"/>
    </w:p>
    <w:p w14:paraId="2378F6B3">
      <w:pPr>
        <w:ind w:firstLine="560" w:firstLineChars="200"/>
        <w:jc w:val="left"/>
        <w:rPr>
          <w:sz w:val="28"/>
          <w:szCs w:val="28"/>
        </w:rPr>
      </w:pPr>
      <w:r>
        <w:rPr>
          <w:rFonts w:hint="eastAsia"/>
          <w:sz w:val="28"/>
          <w:szCs w:val="28"/>
        </w:rPr>
        <w:t>绩效评价标准：该项目根据产出指标的各项标准作为绩效评价标准，对其进行评价。</w:t>
      </w:r>
    </w:p>
    <w:p w14:paraId="216696B0">
      <w:pPr>
        <w:ind w:firstLine="560" w:firstLineChars="200"/>
        <w:jc w:val="left"/>
        <w:rPr>
          <w:sz w:val="28"/>
          <w:szCs w:val="28"/>
        </w:rPr>
      </w:pPr>
      <w:r>
        <w:rPr>
          <w:rFonts w:hint="eastAsia"/>
          <w:sz w:val="28"/>
          <w:szCs w:val="28"/>
        </w:rPr>
        <w:t>评价方法：在评价实施过程中，我们首先明确了每个阶段应该收集的信息，然后由有关人员根据项目进度收集信息，及时进行汇总、整理，并对照绩效指标监控项目的完成情况。对于没有及时完成预期设定绩效指标的，及时调整工作方向和工作方法，确保绩效指标的顺利实施。</w:t>
      </w:r>
    </w:p>
    <w:p w14:paraId="617F7E7C">
      <w:pPr>
        <w:pStyle w:val="4"/>
        <w:ind w:firstLine="562" w:firstLineChars="200"/>
      </w:pPr>
      <w:bookmarkStart w:id="8" w:name="_Toc21592054"/>
      <w:r>
        <w:rPr>
          <w:rFonts w:hint="eastAsia"/>
        </w:rPr>
        <w:t>（三）绩效评价实施过程</w:t>
      </w:r>
      <w:bookmarkEnd w:id="8"/>
    </w:p>
    <w:p w14:paraId="6C9EAF2F">
      <w:pPr>
        <w:ind w:firstLine="560" w:firstLineChars="200"/>
        <w:jc w:val="left"/>
        <w:rPr>
          <w:sz w:val="28"/>
          <w:szCs w:val="28"/>
        </w:rPr>
      </w:pPr>
      <w:r>
        <w:rPr>
          <w:rFonts w:hint="eastAsia"/>
          <w:sz w:val="28"/>
          <w:szCs w:val="28"/>
        </w:rPr>
        <w:t>1、前期准备</w:t>
      </w:r>
    </w:p>
    <w:p w14:paraId="29FC657B">
      <w:pPr>
        <w:ind w:firstLine="560" w:firstLineChars="200"/>
        <w:jc w:val="left"/>
        <w:rPr>
          <w:sz w:val="28"/>
          <w:szCs w:val="28"/>
        </w:rPr>
      </w:pPr>
      <w:r>
        <w:rPr>
          <w:rFonts w:hint="eastAsia"/>
          <w:sz w:val="28"/>
          <w:szCs w:val="28"/>
        </w:rPr>
        <w:t>按照石家庄市财政局有关文件要求，为做好统一评价工作，赴现场收集有关资料，并听取藁城区疾控中心对相关项目的介绍。</w:t>
      </w:r>
    </w:p>
    <w:p w14:paraId="7DA4A3FA">
      <w:pPr>
        <w:ind w:firstLine="560" w:firstLineChars="200"/>
        <w:jc w:val="left"/>
        <w:rPr>
          <w:sz w:val="28"/>
          <w:szCs w:val="28"/>
        </w:rPr>
      </w:pPr>
      <w:r>
        <w:rPr>
          <w:rFonts w:hint="eastAsia"/>
          <w:sz w:val="28"/>
          <w:szCs w:val="28"/>
        </w:rPr>
        <w:t>2、组织实施</w:t>
      </w:r>
    </w:p>
    <w:p w14:paraId="03295243">
      <w:pPr>
        <w:ind w:firstLine="560" w:firstLineChars="200"/>
        <w:jc w:val="left"/>
        <w:rPr>
          <w:sz w:val="28"/>
          <w:szCs w:val="28"/>
        </w:rPr>
      </w:pPr>
      <w:r>
        <w:rPr>
          <w:rFonts w:hint="eastAsia"/>
          <w:sz w:val="28"/>
          <w:szCs w:val="28"/>
        </w:rPr>
        <w:t>对藁城区疾控中心提供的数据及相关资料进行审核、确认，调查走访项目周边群众及单位，严格按照文件要求，实事求是，客观公正的进行本次绩效评价工作。</w:t>
      </w:r>
    </w:p>
    <w:p w14:paraId="6ED94746">
      <w:pPr>
        <w:ind w:firstLine="560" w:firstLineChars="200"/>
        <w:jc w:val="left"/>
        <w:rPr>
          <w:sz w:val="28"/>
          <w:szCs w:val="28"/>
        </w:rPr>
      </w:pPr>
      <w:r>
        <w:rPr>
          <w:rFonts w:hint="eastAsia"/>
          <w:sz w:val="28"/>
          <w:szCs w:val="28"/>
        </w:rPr>
        <w:t>3、分析评价</w:t>
      </w:r>
    </w:p>
    <w:p w14:paraId="34A4A8BF">
      <w:pPr>
        <w:spacing w:line="276" w:lineRule="auto"/>
        <w:ind w:firstLine="560" w:firstLineChars="200"/>
        <w:jc w:val="left"/>
        <w:rPr>
          <w:sz w:val="28"/>
          <w:szCs w:val="28"/>
        </w:rPr>
      </w:pPr>
      <w:r>
        <w:rPr>
          <w:rFonts w:hint="eastAsia"/>
          <w:sz w:val="28"/>
          <w:szCs w:val="28"/>
        </w:rPr>
        <w:t>各部门共同讨论、组织统一评价报告，严格按照文件要求，实事求是，客观公正地进行本次绩效评价工作。</w:t>
      </w:r>
    </w:p>
    <w:p w14:paraId="2BC7DD1C">
      <w:pPr>
        <w:pStyle w:val="2"/>
        <w:ind w:firstLine="562" w:firstLineChars="200"/>
        <w:jc w:val="left"/>
        <w:rPr>
          <w:sz w:val="28"/>
          <w:szCs w:val="28"/>
        </w:rPr>
      </w:pPr>
      <w:bookmarkStart w:id="9" w:name="_Toc21592055"/>
      <w:r>
        <w:rPr>
          <w:rFonts w:hint="eastAsia"/>
          <w:sz w:val="28"/>
          <w:szCs w:val="28"/>
        </w:rPr>
        <w:t>三、资金使用情况</w:t>
      </w:r>
      <w:bookmarkEnd w:id="9"/>
    </w:p>
    <w:p w14:paraId="65175B36">
      <w:pPr>
        <w:pStyle w:val="4"/>
        <w:ind w:firstLine="562" w:firstLineChars="200"/>
      </w:pPr>
      <w:bookmarkStart w:id="10" w:name="_Toc21592056"/>
      <w:r>
        <w:rPr>
          <w:rFonts w:hint="eastAsia"/>
        </w:rPr>
        <w:t>（一）资金落实情况</w:t>
      </w:r>
      <w:bookmarkEnd w:id="10"/>
    </w:p>
    <w:p w14:paraId="5B343EC6">
      <w:pPr>
        <w:ind w:firstLine="560" w:firstLineChars="200"/>
        <w:rPr>
          <w:sz w:val="28"/>
          <w:szCs w:val="28"/>
        </w:rPr>
      </w:pPr>
      <w:r>
        <w:rPr>
          <w:rFonts w:hint="eastAsia"/>
          <w:sz w:val="28"/>
          <w:szCs w:val="28"/>
        </w:rPr>
        <w:t>2013年7月30日下达藁城区疾病预防控制中心业务用房综合楼及附属用房建设（含卫生监督所）中央基建投资预算3,500,000.00元；</w:t>
      </w:r>
    </w:p>
    <w:p w14:paraId="198AE6DE">
      <w:pPr>
        <w:ind w:firstLine="560" w:firstLineChars="200"/>
        <w:rPr>
          <w:sz w:val="28"/>
          <w:szCs w:val="28"/>
        </w:rPr>
      </w:pPr>
      <w:r>
        <w:rPr>
          <w:rFonts w:hint="eastAsia"/>
          <w:sz w:val="28"/>
          <w:szCs w:val="28"/>
        </w:rPr>
        <w:t>2015年12月29日财政授权支付额度到账509,000.00元；</w:t>
      </w:r>
    </w:p>
    <w:p w14:paraId="6EB22935">
      <w:pPr>
        <w:ind w:firstLine="560" w:firstLineChars="200"/>
        <w:rPr>
          <w:sz w:val="28"/>
          <w:szCs w:val="28"/>
        </w:rPr>
      </w:pPr>
      <w:r>
        <w:rPr>
          <w:rFonts w:hint="eastAsia"/>
          <w:sz w:val="28"/>
          <w:szCs w:val="28"/>
        </w:rPr>
        <w:t xml:space="preserve">2016年2月25日财政授权支付额度到账3,000,000.00元； </w:t>
      </w:r>
    </w:p>
    <w:p w14:paraId="21FB2C41">
      <w:pPr>
        <w:ind w:firstLine="560" w:firstLineChars="200"/>
        <w:rPr>
          <w:sz w:val="28"/>
          <w:szCs w:val="28"/>
        </w:rPr>
      </w:pPr>
      <w:r>
        <w:rPr>
          <w:rFonts w:hint="eastAsia"/>
          <w:sz w:val="28"/>
          <w:szCs w:val="28"/>
        </w:rPr>
        <w:t xml:space="preserve">2016年10月10日财政授权支付额度到账4,000,000.00元； </w:t>
      </w:r>
    </w:p>
    <w:p w14:paraId="5E82AE74">
      <w:pPr>
        <w:ind w:firstLine="560" w:firstLineChars="200"/>
        <w:rPr>
          <w:sz w:val="28"/>
          <w:szCs w:val="28"/>
        </w:rPr>
      </w:pPr>
      <w:r>
        <w:rPr>
          <w:rFonts w:hint="eastAsia"/>
          <w:sz w:val="28"/>
          <w:szCs w:val="28"/>
        </w:rPr>
        <w:t>2017年5月26日财政授权支付额度到账500,000.00元；</w:t>
      </w:r>
    </w:p>
    <w:p w14:paraId="0E541DD1">
      <w:pPr>
        <w:ind w:firstLine="560" w:firstLineChars="200"/>
        <w:rPr>
          <w:sz w:val="28"/>
          <w:szCs w:val="28"/>
        </w:rPr>
      </w:pPr>
      <w:r>
        <w:rPr>
          <w:rFonts w:hint="eastAsia"/>
          <w:sz w:val="28"/>
          <w:szCs w:val="28"/>
        </w:rPr>
        <w:t>2017年 9月28日财政授权支付额度到账293,324.42元。</w:t>
      </w:r>
    </w:p>
    <w:p w14:paraId="2761B14E">
      <w:pPr>
        <w:ind w:firstLine="560" w:firstLineChars="200"/>
        <w:rPr>
          <w:sz w:val="28"/>
          <w:szCs w:val="28"/>
        </w:rPr>
      </w:pPr>
      <w:r>
        <w:rPr>
          <w:rFonts w:hint="eastAsia"/>
          <w:sz w:val="28"/>
          <w:szCs w:val="28"/>
        </w:rPr>
        <w:t>2018年11月22日财政授权支付额度到账4,500,000.00元；</w:t>
      </w:r>
    </w:p>
    <w:p w14:paraId="4D217085">
      <w:pPr>
        <w:ind w:firstLine="560" w:firstLineChars="200"/>
        <w:rPr>
          <w:sz w:val="28"/>
          <w:szCs w:val="28"/>
        </w:rPr>
      </w:pPr>
      <w:r>
        <w:rPr>
          <w:rFonts w:hint="eastAsia"/>
          <w:sz w:val="28"/>
          <w:szCs w:val="28"/>
        </w:rPr>
        <w:t>以上共计收到资金1630.23万元。</w:t>
      </w:r>
    </w:p>
    <w:p w14:paraId="274829A7">
      <w:pPr>
        <w:ind w:firstLine="560" w:firstLineChars="200"/>
        <w:rPr>
          <w:sz w:val="28"/>
          <w:szCs w:val="28"/>
        </w:rPr>
      </w:pPr>
      <w:r>
        <w:rPr>
          <w:rFonts w:hint="eastAsia"/>
          <w:sz w:val="28"/>
          <w:szCs w:val="28"/>
        </w:rPr>
        <w:t>2018年12月24日收到河北廉州建筑工程有限公司工程质量保证金1,400,000.00元，</w:t>
      </w:r>
    </w:p>
    <w:p w14:paraId="54224731">
      <w:pPr>
        <w:pStyle w:val="4"/>
        <w:ind w:firstLine="562" w:firstLineChars="200"/>
      </w:pPr>
      <w:bookmarkStart w:id="11" w:name="_Toc21592057"/>
      <w:r>
        <w:rPr>
          <w:rFonts w:hint="eastAsia"/>
        </w:rPr>
        <w:t>（二）项目开展情况</w:t>
      </w:r>
      <w:bookmarkEnd w:id="11"/>
    </w:p>
    <w:p w14:paraId="52CFBA4F">
      <w:pPr>
        <w:ind w:firstLine="560" w:firstLineChars="200"/>
        <w:rPr>
          <w:rFonts w:ascii="Calibri" w:hAnsi="Calibri" w:eastAsia="宋体" w:cs="Calibri"/>
          <w:color w:val="000000"/>
          <w:kern w:val="0"/>
          <w:sz w:val="28"/>
          <w:szCs w:val="28"/>
        </w:rPr>
      </w:pPr>
      <w:r>
        <w:rPr>
          <w:rFonts w:hint="eastAsia"/>
          <w:sz w:val="28"/>
          <w:szCs w:val="28"/>
        </w:rPr>
        <w:t>经核实石家庄市藁城区疾病预防控制中心（含卫生监督所）业务用房项目合计支出</w:t>
      </w:r>
      <w:r>
        <w:rPr>
          <w:rFonts w:ascii="Calibri" w:hAnsi="Calibri" w:eastAsia="宋体" w:cs="Calibri"/>
          <w:color w:val="000000"/>
          <w:kern w:val="0"/>
          <w:sz w:val="28"/>
          <w:szCs w:val="28"/>
        </w:rPr>
        <w:t>16,302,324.42</w:t>
      </w:r>
      <w:r>
        <w:rPr>
          <w:rFonts w:hint="eastAsia"/>
          <w:sz w:val="28"/>
          <w:szCs w:val="28"/>
        </w:rPr>
        <w:t>元，款项支付情况详见下表：</w:t>
      </w:r>
    </w:p>
    <w:tbl>
      <w:tblPr>
        <w:tblStyle w:val="14"/>
        <w:tblW w:w="0" w:type="auto"/>
        <w:tblInd w:w="0" w:type="dxa"/>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Layout w:type="autofit"/>
        <w:tblCellMar>
          <w:top w:w="0" w:type="dxa"/>
          <w:left w:w="108" w:type="dxa"/>
          <w:bottom w:w="0" w:type="dxa"/>
          <w:right w:w="108" w:type="dxa"/>
        </w:tblCellMar>
      </w:tblPr>
      <w:tblGrid>
        <w:gridCol w:w="4077"/>
        <w:gridCol w:w="2552"/>
        <w:gridCol w:w="1893"/>
      </w:tblGrid>
      <w:tr w14:paraId="5951EA2A">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PrEx>
        <w:tc>
          <w:tcPr>
            <w:tcW w:w="4077" w:type="dxa"/>
            <w:vAlign w:val="bottom"/>
          </w:tcPr>
          <w:p w14:paraId="62BD88AE">
            <w:pPr>
              <w:jc w:val="center"/>
              <w:rPr>
                <w:b/>
                <w:color w:val="000000"/>
                <w:sz w:val="22"/>
              </w:rPr>
            </w:pPr>
            <w:r>
              <w:rPr>
                <w:rFonts w:hint="eastAsia"/>
                <w:b/>
                <w:color w:val="000000"/>
                <w:sz w:val="22"/>
              </w:rPr>
              <w:t>公司名称</w:t>
            </w:r>
          </w:p>
        </w:tc>
        <w:tc>
          <w:tcPr>
            <w:tcW w:w="2552" w:type="dxa"/>
            <w:vAlign w:val="bottom"/>
          </w:tcPr>
          <w:p w14:paraId="204BE535">
            <w:pPr>
              <w:jc w:val="center"/>
              <w:rPr>
                <w:b/>
                <w:color w:val="000000"/>
                <w:sz w:val="22"/>
              </w:rPr>
            </w:pPr>
            <w:r>
              <w:rPr>
                <w:rFonts w:hint="eastAsia"/>
                <w:b/>
                <w:color w:val="000000"/>
                <w:sz w:val="22"/>
              </w:rPr>
              <w:t>款项性质</w:t>
            </w:r>
          </w:p>
        </w:tc>
        <w:tc>
          <w:tcPr>
            <w:tcW w:w="1893" w:type="dxa"/>
            <w:vAlign w:val="bottom"/>
          </w:tcPr>
          <w:p w14:paraId="59B8DFEB">
            <w:pPr>
              <w:jc w:val="center"/>
              <w:rPr>
                <w:b/>
                <w:color w:val="000000"/>
                <w:sz w:val="22"/>
              </w:rPr>
            </w:pPr>
            <w:r>
              <w:rPr>
                <w:rFonts w:hint="eastAsia"/>
                <w:b/>
                <w:color w:val="000000"/>
                <w:sz w:val="22"/>
              </w:rPr>
              <w:t xml:space="preserve"> 支出金额 </w:t>
            </w:r>
          </w:p>
        </w:tc>
      </w:tr>
      <w:tr w14:paraId="38018CCD">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15ADB37F">
            <w:pPr>
              <w:jc w:val="left"/>
              <w:rPr>
                <w:color w:val="000000"/>
                <w:sz w:val="22"/>
              </w:rPr>
            </w:pPr>
            <w:r>
              <w:rPr>
                <w:rFonts w:hint="eastAsia"/>
                <w:color w:val="000000"/>
                <w:sz w:val="22"/>
              </w:rPr>
              <w:t>河北安拓土木工程有限公司藁城分公司</w:t>
            </w:r>
          </w:p>
        </w:tc>
        <w:tc>
          <w:tcPr>
            <w:tcW w:w="2552" w:type="dxa"/>
            <w:vAlign w:val="center"/>
          </w:tcPr>
          <w:p w14:paraId="5F680214">
            <w:pPr>
              <w:jc w:val="center"/>
              <w:rPr>
                <w:color w:val="000000"/>
                <w:sz w:val="22"/>
              </w:rPr>
            </w:pPr>
            <w:r>
              <w:rPr>
                <w:rFonts w:hint="eastAsia"/>
                <w:color w:val="000000"/>
                <w:sz w:val="22"/>
              </w:rPr>
              <w:t>工程勘察费</w:t>
            </w:r>
          </w:p>
        </w:tc>
        <w:tc>
          <w:tcPr>
            <w:tcW w:w="1893" w:type="dxa"/>
            <w:vAlign w:val="center"/>
          </w:tcPr>
          <w:p w14:paraId="2E4A7834">
            <w:pPr>
              <w:jc w:val="center"/>
              <w:rPr>
                <w:color w:val="000000"/>
                <w:sz w:val="22"/>
              </w:rPr>
            </w:pPr>
            <w:r>
              <w:rPr>
                <w:rFonts w:hint="eastAsia"/>
                <w:color w:val="000000"/>
                <w:sz w:val="22"/>
              </w:rPr>
              <w:t>16,000.00</w:t>
            </w:r>
          </w:p>
        </w:tc>
      </w:tr>
      <w:tr w14:paraId="30CDDB1A">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58E10C5B">
            <w:pPr>
              <w:jc w:val="left"/>
              <w:rPr>
                <w:color w:val="000000"/>
                <w:sz w:val="22"/>
              </w:rPr>
            </w:pPr>
            <w:r>
              <w:rPr>
                <w:rFonts w:hint="eastAsia"/>
                <w:color w:val="000000"/>
                <w:sz w:val="22"/>
              </w:rPr>
              <w:t>河北安拓土木工程有限公司</w:t>
            </w:r>
          </w:p>
        </w:tc>
        <w:tc>
          <w:tcPr>
            <w:tcW w:w="2552" w:type="dxa"/>
            <w:vAlign w:val="center"/>
          </w:tcPr>
          <w:p w14:paraId="4B0A7021">
            <w:pPr>
              <w:jc w:val="center"/>
              <w:rPr>
                <w:color w:val="000000"/>
                <w:sz w:val="22"/>
              </w:rPr>
            </w:pPr>
            <w:r>
              <w:rPr>
                <w:rFonts w:hint="eastAsia"/>
                <w:color w:val="000000"/>
                <w:sz w:val="22"/>
              </w:rPr>
              <w:t>岩土工程费</w:t>
            </w:r>
          </w:p>
        </w:tc>
        <w:tc>
          <w:tcPr>
            <w:tcW w:w="1893" w:type="dxa"/>
            <w:vAlign w:val="center"/>
          </w:tcPr>
          <w:p w14:paraId="54355AFC">
            <w:pPr>
              <w:jc w:val="center"/>
              <w:rPr>
                <w:color w:val="000000"/>
                <w:sz w:val="22"/>
              </w:rPr>
            </w:pPr>
            <w:r>
              <w:rPr>
                <w:rFonts w:hint="eastAsia"/>
                <w:color w:val="000000"/>
                <w:sz w:val="22"/>
              </w:rPr>
              <w:t>374,500.00</w:t>
            </w:r>
          </w:p>
        </w:tc>
      </w:tr>
      <w:tr w14:paraId="78F72A81">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394E858B">
            <w:pPr>
              <w:jc w:val="left"/>
              <w:rPr>
                <w:color w:val="000000"/>
                <w:sz w:val="22"/>
              </w:rPr>
            </w:pPr>
            <w:r>
              <w:rPr>
                <w:rFonts w:hint="eastAsia"/>
                <w:color w:val="000000"/>
                <w:sz w:val="22"/>
              </w:rPr>
              <w:t>河北盛伟电力工程有限公司</w:t>
            </w:r>
          </w:p>
        </w:tc>
        <w:tc>
          <w:tcPr>
            <w:tcW w:w="2552" w:type="dxa"/>
            <w:vAlign w:val="center"/>
          </w:tcPr>
          <w:p w14:paraId="6BF0456E">
            <w:pPr>
              <w:jc w:val="center"/>
              <w:rPr>
                <w:color w:val="000000"/>
                <w:sz w:val="22"/>
              </w:rPr>
            </w:pPr>
            <w:r>
              <w:rPr>
                <w:rFonts w:hint="eastAsia"/>
                <w:color w:val="000000"/>
                <w:sz w:val="22"/>
              </w:rPr>
              <w:t>配电工程施工款</w:t>
            </w:r>
          </w:p>
        </w:tc>
        <w:tc>
          <w:tcPr>
            <w:tcW w:w="1893" w:type="dxa"/>
            <w:vAlign w:val="center"/>
          </w:tcPr>
          <w:p w14:paraId="395E7451">
            <w:pPr>
              <w:jc w:val="center"/>
              <w:rPr>
                <w:color w:val="000000"/>
                <w:sz w:val="22"/>
              </w:rPr>
            </w:pPr>
            <w:r>
              <w:rPr>
                <w:rFonts w:hint="eastAsia"/>
                <w:color w:val="000000"/>
                <w:sz w:val="22"/>
              </w:rPr>
              <w:t>282,900.00</w:t>
            </w:r>
          </w:p>
        </w:tc>
      </w:tr>
      <w:tr w14:paraId="5B2035BE">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14E9AF20">
            <w:pPr>
              <w:jc w:val="left"/>
              <w:rPr>
                <w:color w:val="000000"/>
                <w:sz w:val="22"/>
              </w:rPr>
            </w:pPr>
            <w:r>
              <w:rPr>
                <w:rFonts w:hint="eastAsia"/>
                <w:color w:val="000000"/>
                <w:sz w:val="22"/>
              </w:rPr>
              <w:t>河北誉通科技有限公司</w:t>
            </w:r>
          </w:p>
        </w:tc>
        <w:tc>
          <w:tcPr>
            <w:tcW w:w="2552" w:type="dxa"/>
            <w:vAlign w:val="center"/>
          </w:tcPr>
          <w:p w14:paraId="2532ADB4">
            <w:pPr>
              <w:jc w:val="center"/>
              <w:rPr>
                <w:color w:val="000000"/>
                <w:sz w:val="22"/>
              </w:rPr>
            </w:pPr>
            <w:r>
              <w:rPr>
                <w:rFonts w:hint="eastAsia"/>
                <w:color w:val="000000"/>
                <w:sz w:val="22"/>
              </w:rPr>
              <w:t>电梯款</w:t>
            </w:r>
          </w:p>
        </w:tc>
        <w:tc>
          <w:tcPr>
            <w:tcW w:w="1893" w:type="dxa"/>
            <w:vAlign w:val="center"/>
          </w:tcPr>
          <w:p w14:paraId="19035289">
            <w:pPr>
              <w:jc w:val="center"/>
              <w:rPr>
                <w:color w:val="000000"/>
                <w:sz w:val="22"/>
              </w:rPr>
            </w:pPr>
            <w:r>
              <w:rPr>
                <w:rFonts w:hint="eastAsia"/>
                <w:color w:val="000000"/>
                <w:sz w:val="22"/>
              </w:rPr>
              <w:t>156,000.00</w:t>
            </w:r>
          </w:p>
        </w:tc>
      </w:tr>
      <w:tr w14:paraId="5473030B">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3892CCAE">
            <w:pPr>
              <w:jc w:val="left"/>
              <w:rPr>
                <w:color w:val="000000"/>
                <w:sz w:val="22"/>
              </w:rPr>
            </w:pPr>
            <w:r>
              <w:rPr>
                <w:rFonts w:hint="eastAsia"/>
                <w:color w:val="000000"/>
                <w:sz w:val="22"/>
              </w:rPr>
              <w:t>石家庄市广厦勘察设计有限公司</w:t>
            </w:r>
          </w:p>
        </w:tc>
        <w:tc>
          <w:tcPr>
            <w:tcW w:w="2552" w:type="dxa"/>
            <w:vAlign w:val="center"/>
          </w:tcPr>
          <w:p w14:paraId="7AE738CD">
            <w:pPr>
              <w:jc w:val="center"/>
              <w:rPr>
                <w:color w:val="000000"/>
                <w:sz w:val="22"/>
              </w:rPr>
            </w:pPr>
            <w:r>
              <w:rPr>
                <w:rFonts w:hint="eastAsia"/>
                <w:color w:val="000000"/>
                <w:sz w:val="22"/>
              </w:rPr>
              <w:t>设计费</w:t>
            </w:r>
          </w:p>
        </w:tc>
        <w:tc>
          <w:tcPr>
            <w:tcW w:w="1893" w:type="dxa"/>
            <w:vAlign w:val="center"/>
          </w:tcPr>
          <w:p w14:paraId="7B0477C6">
            <w:pPr>
              <w:jc w:val="center"/>
              <w:rPr>
                <w:color w:val="000000"/>
                <w:sz w:val="22"/>
              </w:rPr>
            </w:pPr>
            <w:r>
              <w:rPr>
                <w:rFonts w:hint="eastAsia"/>
                <w:color w:val="000000"/>
                <w:sz w:val="22"/>
              </w:rPr>
              <w:t>80,000.00</w:t>
            </w:r>
          </w:p>
        </w:tc>
      </w:tr>
      <w:tr w14:paraId="2AE1D09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0FEC60A4">
            <w:pPr>
              <w:jc w:val="left"/>
              <w:rPr>
                <w:color w:val="000000"/>
                <w:sz w:val="22"/>
              </w:rPr>
            </w:pPr>
            <w:r>
              <w:rPr>
                <w:rFonts w:hint="eastAsia"/>
                <w:color w:val="000000"/>
                <w:sz w:val="22"/>
              </w:rPr>
              <w:t>河北鸿翔天宇工程造价咨询有限公司</w:t>
            </w:r>
          </w:p>
        </w:tc>
        <w:tc>
          <w:tcPr>
            <w:tcW w:w="2552" w:type="dxa"/>
            <w:vAlign w:val="center"/>
          </w:tcPr>
          <w:p w14:paraId="12AE19AF">
            <w:pPr>
              <w:jc w:val="center"/>
              <w:rPr>
                <w:color w:val="000000"/>
                <w:sz w:val="22"/>
              </w:rPr>
            </w:pPr>
            <w:r>
              <w:rPr>
                <w:rFonts w:hint="eastAsia"/>
                <w:color w:val="000000"/>
                <w:sz w:val="22"/>
              </w:rPr>
              <w:t>标的编制费</w:t>
            </w:r>
          </w:p>
        </w:tc>
        <w:tc>
          <w:tcPr>
            <w:tcW w:w="1893" w:type="dxa"/>
            <w:vAlign w:val="center"/>
          </w:tcPr>
          <w:p w14:paraId="3D4766AE">
            <w:pPr>
              <w:jc w:val="center"/>
              <w:rPr>
                <w:color w:val="000000"/>
                <w:sz w:val="22"/>
              </w:rPr>
            </w:pPr>
            <w:r>
              <w:rPr>
                <w:rFonts w:hint="eastAsia"/>
                <w:color w:val="000000"/>
                <w:sz w:val="22"/>
              </w:rPr>
              <w:t>35,000.00</w:t>
            </w:r>
          </w:p>
        </w:tc>
      </w:tr>
      <w:tr w14:paraId="0DF539B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59D680AF">
            <w:pPr>
              <w:jc w:val="left"/>
              <w:rPr>
                <w:color w:val="000000"/>
                <w:sz w:val="22"/>
              </w:rPr>
            </w:pPr>
            <w:r>
              <w:rPr>
                <w:rFonts w:hint="eastAsia"/>
                <w:color w:val="000000"/>
                <w:sz w:val="22"/>
              </w:rPr>
              <w:t>河北德诚建设有限公司</w:t>
            </w:r>
          </w:p>
        </w:tc>
        <w:tc>
          <w:tcPr>
            <w:tcW w:w="2552" w:type="dxa"/>
            <w:vAlign w:val="center"/>
          </w:tcPr>
          <w:p w14:paraId="42FD58D2">
            <w:pPr>
              <w:jc w:val="center"/>
              <w:rPr>
                <w:rFonts w:ascii="宋体" w:hAnsi="宋体" w:eastAsia="宋体" w:cs="宋体"/>
                <w:color w:val="000000"/>
                <w:sz w:val="22"/>
              </w:rPr>
            </w:pPr>
            <w:r>
              <w:rPr>
                <w:rFonts w:hint="eastAsia"/>
                <w:color w:val="000000"/>
                <w:sz w:val="22"/>
              </w:rPr>
              <w:t>四、五层实验室改造</w:t>
            </w:r>
          </w:p>
        </w:tc>
        <w:tc>
          <w:tcPr>
            <w:tcW w:w="1893" w:type="dxa"/>
            <w:vAlign w:val="center"/>
          </w:tcPr>
          <w:p w14:paraId="47F48A91">
            <w:pPr>
              <w:jc w:val="center"/>
              <w:rPr>
                <w:color w:val="000000"/>
                <w:sz w:val="22"/>
              </w:rPr>
            </w:pPr>
            <w:r>
              <w:rPr>
                <w:color w:val="000000"/>
                <w:sz w:val="22"/>
              </w:rPr>
              <w:t>1</w:t>
            </w:r>
            <w:r>
              <w:rPr>
                <w:rFonts w:hint="eastAsia"/>
                <w:color w:val="000000"/>
                <w:sz w:val="22"/>
              </w:rPr>
              <w:t>,</w:t>
            </w:r>
            <w:r>
              <w:rPr>
                <w:color w:val="000000"/>
                <w:sz w:val="22"/>
              </w:rPr>
              <w:t>466</w:t>
            </w:r>
            <w:r>
              <w:rPr>
                <w:rFonts w:hint="eastAsia"/>
                <w:color w:val="000000"/>
                <w:sz w:val="22"/>
              </w:rPr>
              <w:t>,</w:t>
            </w:r>
            <w:r>
              <w:rPr>
                <w:color w:val="000000"/>
                <w:sz w:val="22"/>
              </w:rPr>
              <w:t>620.84</w:t>
            </w:r>
          </w:p>
        </w:tc>
      </w:tr>
      <w:tr w14:paraId="57A0CD5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224FD0A0">
            <w:pPr>
              <w:jc w:val="left"/>
              <w:rPr>
                <w:color w:val="000000"/>
                <w:sz w:val="22"/>
              </w:rPr>
            </w:pPr>
            <w:r>
              <w:rPr>
                <w:rFonts w:hint="eastAsia"/>
                <w:color w:val="000000"/>
                <w:sz w:val="22"/>
              </w:rPr>
              <w:t>河北人地生态工程有限公司</w:t>
            </w:r>
          </w:p>
        </w:tc>
        <w:tc>
          <w:tcPr>
            <w:tcW w:w="2552" w:type="dxa"/>
            <w:vAlign w:val="center"/>
          </w:tcPr>
          <w:p w14:paraId="77323513">
            <w:pPr>
              <w:jc w:val="center"/>
              <w:rPr>
                <w:color w:val="000000"/>
                <w:sz w:val="22"/>
              </w:rPr>
            </w:pPr>
            <w:r>
              <w:rPr>
                <w:rFonts w:hint="eastAsia"/>
                <w:color w:val="000000"/>
                <w:sz w:val="22"/>
              </w:rPr>
              <w:t>评估费</w:t>
            </w:r>
          </w:p>
        </w:tc>
        <w:tc>
          <w:tcPr>
            <w:tcW w:w="1893" w:type="dxa"/>
            <w:vAlign w:val="center"/>
          </w:tcPr>
          <w:p w14:paraId="05113483">
            <w:pPr>
              <w:jc w:val="center"/>
              <w:rPr>
                <w:color w:val="000000"/>
                <w:sz w:val="22"/>
              </w:rPr>
            </w:pPr>
            <w:r>
              <w:rPr>
                <w:rFonts w:hint="eastAsia"/>
                <w:color w:val="000000"/>
                <w:sz w:val="22"/>
              </w:rPr>
              <w:t>25,000.00</w:t>
            </w:r>
          </w:p>
        </w:tc>
      </w:tr>
      <w:tr w14:paraId="54016A14">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739B4D49">
            <w:pPr>
              <w:jc w:val="left"/>
              <w:rPr>
                <w:color w:val="000000"/>
                <w:sz w:val="22"/>
              </w:rPr>
            </w:pPr>
            <w:r>
              <w:rPr>
                <w:rFonts w:hint="eastAsia"/>
                <w:color w:val="000000"/>
                <w:sz w:val="22"/>
              </w:rPr>
              <w:t>河北华宇工程检测有限公司</w:t>
            </w:r>
          </w:p>
        </w:tc>
        <w:tc>
          <w:tcPr>
            <w:tcW w:w="2552" w:type="dxa"/>
            <w:vAlign w:val="center"/>
          </w:tcPr>
          <w:p w14:paraId="404943C1">
            <w:pPr>
              <w:jc w:val="center"/>
              <w:rPr>
                <w:color w:val="000000"/>
                <w:sz w:val="22"/>
              </w:rPr>
            </w:pPr>
            <w:r>
              <w:rPr>
                <w:rFonts w:hint="eastAsia"/>
                <w:color w:val="000000"/>
                <w:sz w:val="22"/>
              </w:rPr>
              <w:t>检测费</w:t>
            </w:r>
          </w:p>
        </w:tc>
        <w:tc>
          <w:tcPr>
            <w:tcW w:w="1893" w:type="dxa"/>
            <w:vAlign w:val="center"/>
          </w:tcPr>
          <w:p w14:paraId="5587AB6F">
            <w:pPr>
              <w:jc w:val="center"/>
              <w:rPr>
                <w:color w:val="000000"/>
                <w:sz w:val="22"/>
              </w:rPr>
            </w:pPr>
            <w:r>
              <w:rPr>
                <w:rFonts w:hint="eastAsia"/>
                <w:color w:val="000000"/>
                <w:sz w:val="22"/>
              </w:rPr>
              <w:t>65,000.00</w:t>
            </w:r>
          </w:p>
        </w:tc>
      </w:tr>
      <w:tr w14:paraId="6430BC12">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01771DD7">
            <w:pPr>
              <w:jc w:val="left"/>
              <w:rPr>
                <w:color w:val="000000"/>
                <w:sz w:val="22"/>
              </w:rPr>
            </w:pPr>
            <w:r>
              <w:rPr>
                <w:rFonts w:hint="eastAsia"/>
                <w:color w:val="000000"/>
                <w:sz w:val="22"/>
              </w:rPr>
              <w:t>河北廉州建筑工程有限公司</w:t>
            </w:r>
          </w:p>
        </w:tc>
        <w:tc>
          <w:tcPr>
            <w:tcW w:w="2552" w:type="dxa"/>
            <w:vAlign w:val="center"/>
          </w:tcPr>
          <w:p w14:paraId="057E56A8">
            <w:pPr>
              <w:jc w:val="center"/>
              <w:rPr>
                <w:color w:val="000000"/>
                <w:sz w:val="22"/>
              </w:rPr>
            </w:pPr>
            <w:r>
              <w:rPr>
                <w:rFonts w:hint="eastAsia"/>
                <w:color w:val="000000"/>
                <w:sz w:val="22"/>
              </w:rPr>
              <w:t>工程款</w:t>
            </w:r>
          </w:p>
        </w:tc>
        <w:tc>
          <w:tcPr>
            <w:tcW w:w="1893" w:type="dxa"/>
            <w:vAlign w:val="center"/>
          </w:tcPr>
          <w:p w14:paraId="0D8F6C18">
            <w:pPr>
              <w:jc w:val="center"/>
              <w:rPr>
                <w:color w:val="000000"/>
                <w:sz w:val="22"/>
              </w:rPr>
            </w:pPr>
            <w:r>
              <w:rPr>
                <w:rFonts w:hint="eastAsia"/>
                <w:color w:val="000000"/>
                <w:sz w:val="22"/>
              </w:rPr>
              <w:t>11,483,881.78</w:t>
            </w:r>
          </w:p>
        </w:tc>
      </w:tr>
      <w:tr w14:paraId="50AE0F3A">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31A9C317">
            <w:pPr>
              <w:jc w:val="left"/>
              <w:rPr>
                <w:color w:val="000000"/>
                <w:sz w:val="22"/>
              </w:rPr>
            </w:pPr>
            <w:r>
              <w:rPr>
                <w:rFonts w:hint="eastAsia"/>
                <w:color w:val="000000"/>
                <w:sz w:val="22"/>
              </w:rPr>
              <w:t>河北剑盾工程项目管理有限公司</w:t>
            </w:r>
          </w:p>
        </w:tc>
        <w:tc>
          <w:tcPr>
            <w:tcW w:w="2552" w:type="dxa"/>
            <w:vAlign w:val="center"/>
          </w:tcPr>
          <w:p w14:paraId="506E1086">
            <w:pPr>
              <w:jc w:val="center"/>
              <w:rPr>
                <w:color w:val="000000"/>
                <w:sz w:val="22"/>
              </w:rPr>
            </w:pPr>
            <w:r>
              <w:rPr>
                <w:rFonts w:hint="eastAsia"/>
                <w:color w:val="000000"/>
                <w:sz w:val="22"/>
              </w:rPr>
              <w:t>监理费</w:t>
            </w:r>
          </w:p>
        </w:tc>
        <w:tc>
          <w:tcPr>
            <w:tcW w:w="1893" w:type="dxa"/>
            <w:vAlign w:val="center"/>
          </w:tcPr>
          <w:p w14:paraId="245EA420">
            <w:pPr>
              <w:jc w:val="center"/>
              <w:rPr>
                <w:color w:val="000000"/>
                <w:sz w:val="22"/>
              </w:rPr>
            </w:pPr>
            <w:r>
              <w:rPr>
                <w:rFonts w:hint="eastAsia"/>
                <w:color w:val="000000"/>
                <w:sz w:val="22"/>
              </w:rPr>
              <w:t>132,600.00</w:t>
            </w:r>
          </w:p>
        </w:tc>
      </w:tr>
      <w:tr w14:paraId="2DB1E40C">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01EE0505">
            <w:pPr>
              <w:jc w:val="left"/>
              <w:rPr>
                <w:color w:val="000000"/>
                <w:sz w:val="22"/>
              </w:rPr>
            </w:pPr>
            <w:r>
              <w:rPr>
                <w:rFonts w:hint="eastAsia"/>
                <w:color w:val="000000"/>
                <w:sz w:val="22"/>
              </w:rPr>
              <w:t>河北博纳德能源科技有限公司</w:t>
            </w:r>
          </w:p>
        </w:tc>
        <w:tc>
          <w:tcPr>
            <w:tcW w:w="2552" w:type="dxa"/>
            <w:vAlign w:val="center"/>
          </w:tcPr>
          <w:p w14:paraId="767B70B3">
            <w:pPr>
              <w:jc w:val="center"/>
              <w:rPr>
                <w:color w:val="000000"/>
                <w:sz w:val="22"/>
              </w:rPr>
            </w:pPr>
            <w:r>
              <w:rPr>
                <w:rFonts w:hint="eastAsia"/>
                <w:color w:val="000000"/>
                <w:sz w:val="22"/>
              </w:rPr>
              <w:t>水源热泵机房工程款</w:t>
            </w:r>
          </w:p>
        </w:tc>
        <w:tc>
          <w:tcPr>
            <w:tcW w:w="1893" w:type="dxa"/>
            <w:vAlign w:val="center"/>
          </w:tcPr>
          <w:p w14:paraId="7DB29485">
            <w:pPr>
              <w:jc w:val="center"/>
              <w:rPr>
                <w:color w:val="000000"/>
                <w:sz w:val="22"/>
              </w:rPr>
            </w:pPr>
            <w:r>
              <w:rPr>
                <w:rFonts w:hint="eastAsia"/>
                <w:color w:val="000000"/>
                <w:sz w:val="22"/>
              </w:rPr>
              <w:t>353,500.00</w:t>
            </w:r>
          </w:p>
        </w:tc>
      </w:tr>
      <w:tr w14:paraId="1F07AB8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6921CD0A">
            <w:pPr>
              <w:jc w:val="left"/>
              <w:rPr>
                <w:color w:val="000000"/>
                <w:sz w:val="22"/>
              </w:rPr>
            </w:pPr>
            <w:r>
              <w:rPr>
                <w:rFonts w:hint="eastAsia"/>
                <w:color w:val="000000"/>
                <w:sz w:val="22"/>
              </w:rPr>
              <w:t>藁城区廉州镇经营管理服务站</w:t>
            </w:r>
          </w:p>
        </w:tc>
        <w:tc>
          <w:tcPr>
            <w:tcW w:w="2552" w:type="dxa"/>
            <w:vAlign w:val="center"/>
          </w:tcPr>
          <w:p w14:paraId="5E35AF5A">
            <w:pPr>
              <w:jc w:val="center"/>
              <w:rPr>
                <w:color w:val="000000"/>
                <w:sz w:val="22"/>
              </w:rPr>
            </w:pPr>
            <w:r>
              <w:rPr>
                <w:rFonts w:hint="eastAsia"/>
                <w:color w:val="000000"/>
                <w:sz w:val="22"/>
              </w:rPr>
              <w:t>青苗补偿款</w:t>
            </w:r>
          </w:p>
        </w:tc>
        <w:tc>
          <w:tcPr>
            <w:tcW w:w="1893" w:type="dxa"/>
            <w:vAlign w:val="center"/>
          </w:tcPr>
          <w:p w14:paraId="404BCE53">
            <w:pPr>
              <w:jc w:val="center"/>
              <w:rPr>
                <w:color w:val="000000"/>
                <w:sz w:val="22"/>
              </w:rPr>
            </w:pPr>
            <w:r>
              <w:rPr>
                <w:rFonts w:hint="eastAsia"/>
                <w:color w:val="000000"/>
                <w:sz w:val="22"/>
              </w:rPr>
              <w:t>12,000.00</w:t>
            </w:r>
          </w:p>
        </w:tc>
      </w:tr>
      <w:tr w14:paraId="12751E59">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0098B360">
            <w:pPr>
              <w:jc w:val="left"/>
              <w:rPr>
                <w:color w:val="000000"/>
                <w:sz w:val="22"/>
              </w:rPr>
            </w:pPr>
            <w:r>
              <w:rPr>
                <w:rFonts w:hint="eastAsia"/>
                <w:color w:val="000000"/>
                <w:sz w:val="22"/>
              </w:rPr>
              <w:t>河北翔宇工程造价咨询有限公司</w:t>
            </w:r>
          </w:p>
        </w:tc>
        <w:tc>
          <w:tcPr>
            <w:tcW w:w="2552" w:type="dxa"/>
            <w:vAlign w:val="center"/>
          </w:tcPr>
          <w:p w14:paraId="59C2389D">
            <w:pPr>
              <w:jc w:val="center"/>
              <w:rPr>
                <w:color w:val="000000"/>
                <w:sz w:val="22"/>
              </w:rPr>
            </w:pPr>
            <w:r>
              <w:rPr>
                <w:rFonts w:hint="eastAsia"/>
                <w:color w:val="000000"/>
                <w:sz w:val="22"/>
              </w:rPr>
              <w:t>评审费</w:t>
            </w:r>
          </w:p>
        </w:tc>
        <w:tc>
          <w:tcPr>
            <w:tcW w:w="1893" w:type="dxa"/>
            <w:vAlign w:val="center"/>
          </w:tcPr>
          <w:p w14:paraId="49A66CBF">
            <w:pPr>
              <w:jc w:val="center"/>
              <w:rPr>
                <w:color w:val="000000"/>
                <w:sz w:val="22"/>
              </w:rPr>
            </w:pPr>
            <w:r>
              <w:rPr>
                <w:rFonts w:hint="eastAsia"/>
                <w:color w:val="000000"/>
                <w:sz w:val="22"/>
              </w:rPr>
              <w:t>30,000.00</w:t>
            </w:r>
          </w:p>
        </w:tc>
      </w:tr>
      <w:tr w14:paraId="042D22D0">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724C9FF8">
            <w:pPr>
              <w:jc w:val="left"/>
              <w:rPr>
                <w:color w:val="000000"/>
                <w:sz w:val="22"/>
              </w:rPr>
            </w:pPr>
            <w:r>
              <w:rPr>
                <w:rFonts w:hint="eastAsia"/>
                <w:color w:val="000000"/>
                <w:sz w:val="22"/>
              </w:rPr>
              <w:t>河北朝位工程设计咨询有限公司</w:t>
            </w:r>
          </w:p>
        </w:tc>
        <w:tc>
          <w:tcPr>
            <w:tcW w:w="2552" w:type="dxa"/>
            <w:vAlign w:val="center"/>
          </w:tcPr>
          <w:p w14:paraId="1F2539AE">
            <w:pPr>
              <w:jc w:val="center"/>
              <w:rPr>
                <w:color w:val="000000"/>
                <w:sz w:val="22"/>
              </w:rPr>
            </w:pPr>
            <w:r>
              <w:rPr>
                <w:rFonts w:hint="eastAsia"/>
                <w:color w:val="000000"/>
                <w:sz w:val="22"/>
              </w:rPr>
              <w:t>审图费</w:t>
            </w:r>
          </w:p>
        </w:tc>
        <w:tc>
          <w:tcPr>
            <w:tcW w:w="1893" w:type="dxa"/>
            <w:vAlign w:val="center"/>
          </w:tcPr>
          <w:p w14:paraId="0F379699">
            <w:pPr>
              <w:jc w:val="center"/>
              <w:rPr>
                <w:color w:val="000000"/>
                <w:sz w:val="22"/>
              </w:rPr>
            </w:pPr>
            <w:r>
              <w:rPr>
                <w:rFonts w:hint="eastAsia"/>
                <w:color w:val="000000"/>
                <w:sz w:val="22"/>
              </w:rPr>
              <w:t>16,000.00</w:t>
            </w:r>
          </w:p>
        </w:tc>
      </w:tr>
      <w:tr w14:paraId="67B3FF35">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76DCBC83">
            <w:pPr>
              <w:jc w:val="left"/>
              <w:rPr>
                <w:color w:val="000000"/>
                <w:sz w:val="22"/>
              </w:rPr>
            </w:pPr>
            <w:r>
              <w:rPr>
                <w:rFonts w:hint="eastAsia"/>
                <w:color w:val="000000"/>
                <w:sz w:val="22"/>
              </w:rPr>
              <w:t>藁城市收费管理局</w:t>
            </w:r>
          </w:p>
        </w:tc>
        <w:tc>
          <w:tcPr>
            <w:tcW w:w="2552" w:type="dxa"/>
            <w:vAlign w:val="center"/>
          </w:tcPr>
          <w:p w14:paraId="78B7F0F8">
            <w:pPr>
              <w:jc w:val="center"/>
              <w:rPr>
                <w:color w:val="000000"/>
                <w:sz w:val="22"/>
              </w:rPr>
            </w:pPr>
            <w:r>
              <w:rPr>
                <w:rFonts w:hint="eastAsia"/>
                <w:color w:val="000000"/>
                <w:sz w:val="22"/>
              </w:rPr>
              <w:t>土地补偿耕地费</w:t>
            </w:r>
          </w:p>
        </w:tc>
        <w:tc>
          <w:tcPr>
            <w:tcW w:w="1893" w:type="dxa"/>
            <w:vAlign w:val="center"/>
          </w:tcPr>
          <w:p w14:paraId="0D5B32B4">
            <w:pPr>
              <w:jc w:val="center"/>
              <w:rPr>
                <w:color w:val="000000"/>
                <w:sz w:val="22"/>
              </w:rPr>
            </w:pPr>
            <w:r>
              <w:rPr>
                <w:rFonts w:hint="eastAsia"/>
                <w:color w:val="000000"/>
                <w:sz w:val="22"/>
              </w:rPr>
              <w:t>320,000.00</w:t>
            </w:r>
          </w:p>
        </w:tc>
      </w:tr>
      <w:tr w14:paraId="2F4A9654">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67447838">
            <w:pPr>
              <w:jc w:val="left"/>
              <w:rPr>
                <w:color w:val="000000"/>
                <w:sz w:val="22"/>
              </w:rPr>
            </w:pPr>
            <w:r>
              <w:rPr>
                <w:rFonts w:hint="eastAsia"/>
                <w:color w:val="000000"/>
                <w:sz w:val="22"/>
              </w:rPr>
              <w:t>石家庄市藁城税务局征收分局</w:t>
            </w:r>
          </w:p>
        </w:tc>
        <w:tc>
          <w:tcPr>
            <w:tcW w:w="2552" w:type="dxa"/>
            <w:vAlign w:val="center"/>
          </w:tcPr>
          <w:p w14:paraId="5980C6C7">
            <w:pPr>
              <w:jc w:val="center"/>
              <w:rPr>
                <w:color w:val="000000"/>
                <w:sz w:val="22"/>
              </w:rPr>
            </w:pPr>
            <w:r>
              <w:rPr>
                <w:rFonts w:hint="eastAsia"/>
                <w:color w:val="000000"/>
                <w:sz w:val="22"/>
              </w:rPr>
              <w:t>耕地占用税</w:t>
            </w:r>
          </w:p>
        </w:tc>
        <w:tc>
          <w:tcPr>
            <w:tcW w:w="1893" w:type="dxa"/>
            <w:vAlign w:val="center"/>
          </w:tcPr>
          <w:p w14:paraId="73FA3636">
            <w:pPr>
              <w:jc w:val="center"/>
              <w:rPr>
                <w:color w:val="000000"/>
                <w:sz w:val="22"/>
              </w:rPr>
            </w:pPr>
            <w:r>
              <w:rPr>
                <w:rFonts w:hint="eastAsia"/>
                <w:color w:val="000000"/>
                <w:sz w:val="22"/>
              </w:rPr>
              <w:t>93,333.80</w:t>
            </w:r>
          </w:p>
        </w:tc>
      </w:tr>
      <w:tr w14:paraId="309E01A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74849F43">
            <w:pPr>
              <w:jc w:val="left"/>
              <w:rPr>
                <w:color w:val="000000"/>
                <w:sz w:val="22"/>
              </w:rPr>
            </w:pPr>
            <w:r>
              <w:rPr>
                <w:rFonts w:hint="eastAsia"/>
                <w:color w:val="000000"/>
                <w:sz w:val="22"/>
              </w:rPr>
              <w:t>石家庄市藁城区财政局</w:t>
            </w:r>
          </w:p>
        </w:tc>
        <w:tc>
          <w:tcPr>
            <w:tcW w:w="2552" w:type="dxa"/>
            <w:vAlign w:val="center"/>
          </w:tcPr>
          <w:p w14:paraId="67BE97D4">
            <w:pPr>
              <w:jc w:val="center"/>
              <w:rPr>
                <w:color w:val="000000"/>
                <w:sz w:val="22"/>
              </w:rPr>
            </w:pPr>
            <w:r>
              <w:rPr>
                <w:rFonts w:hint="eastAsia"/>
                <w:color w:val="000000"/>
                <w:sz w:val="22"/>
              </w:rPr>
              <w:t>划拨土地收入</w:t>
            </w:r>
          </w:p>
        </w:tc>
        <w:tc>
          <w:tcPr>
            <w:tcW w:w="1893" w:type="dxa"/>
            <w:vAlign w:val="center"/>
          </w:tcPr>
          <w:p w14:paraId="3C09FEB1">
            <w:pPr>
              <w:jc w:val="center"/>
              <w:rPr>
                <w:color w:val="000000"/>
                <w:sz w:val="22"/>
              </w:rPr>
            </w:pPr>
            <w:r>
              <w:rPr>
                <w:rFonts w:hint="eastAsia"/>
                <w:color w:val="000000"/>
                <w:sz w:val="22"/>
              </w:rPr>
              <w:t>828,632.00</w:t>
            </w:r>
          </w:p>
        </w:tc>
      </w:tr>
      <w:tr w14:paraId="4C59CD4D">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077" w:type="dxa"/>
            <w:vAlign w:val="center"/>
          </w:tcPr>
          <w:p w14:paraId="5519D024">
            <w:pPr>
              <w:jc w:val="left"/>
              <w:rPr>
                <w:color w:val="000000"/>
                <w:sz w:val="22"/>
              </w:rPr>
            </w:pPr>
            <w:r>
              <w:rPr>
                <w:rFonts w:hint="eastAsia"/>
                <w:color w:val="000000"/>
                <w:sz w:val="22"/>
              </w:rPr>
              <w:t>藁城区收费管理局</w:t>
            </w:r>
          </w:p>
        </w:tc>
        <w:tc>
          <w:tcPr>
            <w:tcW w:w="2552" w:type="dxa"/>
            <w:vAlign w:val="center"/>
          </w:tcPr>
          <w:p w14:paraId="57C656D8">
            <w:pPr>
              <w:jc w:val="center"/>
              <w:rPr>
                <w:color w:val="000000"/>
                <w:sz w:val="22"/>
              </w:rPr>
            </w:pPr>
            <w:r>
              <w:rPr>
                <w:rFonts w:hint="eastAsia"/>
                <w:color w:val="000000"/>
                <w:sz w:val="22"/>
              </w:rPr>
              <w:t>土地有偿使用费</w:t>
            </w:r>
          </w:p>
        </w:tc>
        <w:tc>
          <w:tcPr>
            <w:tcW w:w="1893" w:type="dxa"/>
            <w:vAlign w:val="center"/>
          </w:tcPr>
          <w:p w14:paraId="249E0152">
            <w:pPr>
              <w:jc w:val="center"/>
              <w:rPr>
                <w:color w:val="000000"/>
                <w:sz w:val="22"/>
              </w:rPr>
            </w:pPr>
            <w:r>
              <w:rPr>
                <w:rFonts w:hint="eastAsia"/>
                <w:color w:val="000000"/>
                <w:sz w:val="22"/>
              </w:rPr>
              <w:t>371,760.00</w:t>
            </w:r>
          </w:p>
        </w:tc>
      </w:tr>
      <w:tr w14:paraId="22EA3EA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87" w:hRule="atLeast"/>
        </w:trPr>
        <w:tc>
          <w:tcPr>
            <w:tcW w:w="4077" w:type="dxa"/>
            <w:vAlign w:val="center"/>
          </w:tcPr>
          <w:p w14:paraId="796EBAEE">
            <w:pPr>
              <w:jc w:val="left"/>
              <w:rPr>
                <w:color w:val="000000"/>
                <w:sz w:val="22"/>
              </w:rPr>
            </w:pPr>
            <w:r>
              <w:rPr>
                <w:rFonts w:hint="eastAsia"/>
                <w:color w:val="000000"/>
                <w:sz w:val="22"/>
              </w:rPr>
              <w:t>藁城区收费管理局</w:t>
            </w:r>
          </w:p>
        </w:tc>
        <w:tc>
          <w:tcPr>
            <w:tcW w:w="2552" w:type="dxa"/>
            <w:vAlign w:val="center"/>
          </w:tcPr>
          <w:p w14:paraId="1ED2217C">
            <w:pPr>
              <w:jc w:val="center"/>
              <w:rPr>
                <w:color w:val="000000"/>
                <w:sz w:val="22"/>
              </w:rPr>
            </w:pPr>
            <w:r>
              <w:rPr>
                <w:rFonts w:hint="eastAsia"/>
                <w:color w:val="000000"/>
                <w:sz w:val="22"/>
              </w:rPr>
              <w:t>城市基础设施配套费</w:t>
            </w:r>
          </w:p>
        </w:tc>
        <w:tc>
          <w:tcPr>
            <w:tcW w:w="1893" w:type="dxa"/>
            <w:vAlign w:val="center"/>
          </w:tcPr>
          <w:p w14:paraId="7A02F1CA">
            <w:pPr>
              <w:jc w:val="center"/>
              <w:rPr>
                <w:color w:val="000000"/>
                <w:sz w:val="22"/>
              </w:rPr>
            </w:pPr>
            <w:r>
              <w:rPr>
                <w:rFonts w:hint="eastAsia"/>
                <w:color w:val="000000"/>
                <w:sz w:val="22"/>
              </w:rPr>
              <w:t>109,722.00</w:t>
            </w:r>
          </w:p>
        </w:tc>
      </w:tr>
      <w:tr w14:paraId="1B7C4C5F">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63" w:hRule="atLeast"/>
        </w:trPr>
        <w:tc>
          <w:tcPr>
            <w:tcW w:w="4077" w:type="dxa"/>
          </w:tcPr>
          <w:p w14:paraId="7D99A483">
            <w:pPr>
              <w:jc w:val="center"/>
              <w:rPr>
                <w:b/>
              </w:rPr>
            </w:pPr>
            <w:r>
              <w:rPr>
                <w:rFonts w:hint="eastAsia"/>
                <w:b/>
              </w:rPr>
              <w:t>公司名称</w:t>
            </w:r>
          </w:p>
        </w:tc>
        <w:tc>
          <w:tcPr>
            <w:tcW w:w="2552" w:type="dxa"/>
          </w:tcPr>
          <w:p w14:paraId="027C74C1">
            <w:pPr>
              <w:jc w:val="center"/>
              <w:rPr>
                <w:b/>
              </w:rPr>
            </w:pPr>
            <w:r>
              <w:rPr>
                <w:rFonts w:hint="eastAsia"/>
                <w:b/>
              </w:rPr>
              <w:t>款项性质</w:t>
            </w:r>
          </w:p>
        </w:tc>
        <w:tc>
          <w:tcPr>
            <w:tcW w:w="1893" w:type="dxa"/>
          </w:tcPr>
          <w:p w14:paraId="1651F162">
            <w:pPr>
              <w:jc w:val="center"/>
              <w:rPr>
                <w:b/>
              </w:rPr>
            </w:pPr>
            <w:r>
              <w:rPr>
                <w:rFonts w:hint="eastAsia"/>
                <w:b/>
              </w:rPr>
              <w:t>支出金额</w:t>
            </w:r>
          </w:p>
        </w:tc>
      </w:tr>
      <w:tr w14:paraId="1D6A8F2A">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63" w:hRule="atLeast"/>
        </w:trPr>
        <w:tc>
          <w:tcPr>
            <w:tcW w:w="4077" w:type="dxa"/>
            <w:vAlign w:val="center"/>
          </w:tcPr>
          <w:p w14:paraId="3F113E79">
            <w:pPr>
              <w:jc w:val="left"/>
              <w:rPr>
                <w:color w:val="000000"/>
                <w:sz w:val="22"/>
              </w:rPr>
            </w:pPr>
            <w:r>
              <w:rPr>
                <w:rFonts w:hint="eastAsia"/>
                <w:color w:val="000000"/>
                <w:sz w:val="22"/>
              </w:rPr>
              <w:t>藁城区收费管理局</w:t>
            </w:r>
          </w:p>
        </w:tc>
        <w:tc>
          <w:tcPr>
            <w:tcW w:w="2552" w:type="dxa"/>
            <w:vAlign w:val="center"/>
          </w:tcPr>
          <w:p w14:paraId="75240490">
            <w:pPr>
              <w:jc w:val="center"/>
              <w:rPr>
                <w:color w:val="000000"/>
                <w:sz w:val="22"/>
              </w:rPr>
            </w:pPr>
            <w:r>
              <w:rPr>
                <w:rFonts w:hint="eastAsia"/>
                <w:color w:val="000000"/>
                <w:sz w:val="22"/>
              </w:rPr>
              <w:t>新型墙体材料专项基金</w:t>
            </w:r>
          </w:p>
        </w:tc>
        <w:tc>
          <w:tcPr>
            <w:tcW w:w="1893" w:type="dxa"/>
            <w:vAlign w:val="center"/>
          </w:tcPr>
          <w:p w14:paraId="4B912918">
            <w:pPr>
              <w:jc w:val="center"/>
              <w:rPr>
                <w:color w:val="000000"/>
                <w:sz w:val="22"/>
              </w:rPr>
            </w:pPr>
            <w:r>
              <w:rPr>
                <w:rFonts w:hint="eastAsia"/>
                <w:color w:val="000000"/>
                <w:sz w:val="22"/>
              </w:rPr>
              <w:t>49,874.00</w:t>
            </w:r>
          </w:p>
        </w:tc>
      </w:tr>
      <w:tr w14:paraId="432F8396">
        <w:tblPrEx>
          <w:tblBorders>
            <w:top w:val="single" w:color="auto" w:sz="12" w:space="0"/>
            <w:left w:val="none" w:color="auto" w:sz="0" w:space="0"/>
            <w:bottom w:val="single" w:color="auto" w:sz="12"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6629" w:type="dxa"/>
            <w:gridSpan w:val="2"/>
            <w:vAlign w:val="center"/>
          </w:tcPr>
          <w:p w14:paraId="05BAB515">
            <w:pPr>
              <w:jc w:val="center"/>
              <w:rPr>
                <w:color w:val="000000"/>
                <w:sz w:val="22"/>
              </w:rPr>
            </w:pPr>
            <w:r>
              <w:rPr>
                <w:rFonts w:hint="eastAsia"/>
                <w:color w:val="000000"/>
                <w:sz w:val="22"/>
              </w:rPr>
              <w:t>合         计</w:t>
            </w:r>
          </w:p>
        </w:tc>
        <w:tc>
          <w:tcPr>
            <w:tcW w:w="1893" w:type="dxa"/>
            <w:vAlign w:val="center"/>
          </w:tcPr>
          <w:p w14:paraId="51CBA979">
            <w:pPr>
              <w:jc w:val="center"/>
              <w:rPr>
                <w:color w:val="000000"/>
                <w:sz w:val="22"/>
              </w:rPr>
            </w:pPr>
            <w:r>
              <w:rPr>
                <w:color w:val="000000"/>
                <w:sz w:val="22"/>
              </w:rPr>
              <w:t>16</w:t>
            </w:r>
            <w:r>
              <w:rPr>
                <w:rFonts w:hint="eastAsia"/>
                <w:color w:val="000000"/>
                <w:sz w:val="22"/>
              </w:rPr>
              <w:t>,</w:t>
            </w:r>
            <w:r>
              <w:rPr>
                <w:color w:val="000000"/>
                <w:sz w:val="22"/>
              </w:rPr>
              <w:t>302</w:t>
            </w:r>
            <w:r>
              <w:rPr>
                <w:rFonts w:hint="eastAsia"/>
                <w:color w:val="000000"/>
                <w:sz w:val="22"/>
              </w:rPr>
              <w:t>,</w:t>
            </w:r>
            <w:r>
              <w:rPr>
                <w:color w:val="000000"/>
                <w:sz w:val="22"/>
              </w:rPr>
              <w:t>324.42</w:t>
            </w:r>
          </w:p>
        </w:tc>
      </w:tr>
    </w:tbl>
    <w:p w14:paraId="616A03A4">
      <w:pPr>
        <w:pStyle w:val="3"/>
        <w:spacing w:line="415" w:lineRule="auto"/>
        <w:ind w:firstLine="562" w:firstLineChars="200"/>
      </w:pPr>
      <w:bookmarkStart w:id="12" w:name="_Toc21592058"/>
      <w:r>
        <w:rPr>
          <w:rFonts w:hint="eastAsia"/>
        </w:rPr>
        <w:t>四、绩效评价结果及分析</w:t>
      </w:r>
      <w:bookmarkEnd w:id="12"/>
    </w:p>
    <w:p w14:paraId="03F595CA">
      <w:pPr>
        <w:ind w:firstLine="560" w:firstLineChars="200"/>
        <w:jc w:val="left"/>
        <w:rPr>
          <w:sz w:val="28"/>
          <w:szCs w:val="28"/>
        </w:rPr>
      </w:pPr>
      <w:r>
        <w:rPr>
          <w:rFonts w:hint="eastAsia"/>
          <w:sz w:val="28"/>
          <w:szCs w:val="28"/>
        </w:rPr>
        <w:t>总体绩效评价结果</w:t>
      </w:r>
    </w:p>
    <w:p w14:paraId="76EED539">
      <w:pPr>
        <w:ind w:firstLine="560" w:firstLineChars="200"/>
        <w:jc w:val="left"/>
        <w:rPr>
          <w:sz w:val="28"/>
          <w:szCs w:val="28"/>
        </w:rPr>
      </w:pPr>
      <w:r>
        <w:rPr>
          <w:rFonts w:hint="eastAsia"/>
          <w:sz w:val="28"/>
          <w:szCs w:val="28"/>
        </w:rPr>
        <w:t>受藁城市财政局的委托河北正祥会计师事务所有限公司承担了“藁城区疾病预防控制中心（含卫生监督所）业务用房项目”财政专项支出绩效评价的工作。</w:t>
      </w:r>
    </w:p>
    <w:p w14:paraId="56A1B323">
      <w:pPr>
        <w:ind w:firstLine="560" w:firstLineChars="200"/>
        <w:jc w:val="left"/>
        <w:rPr>
          <w:sz w:val="28"/>
          <w:szCs w:val="28"/>
        </w:rPr>
      </w:pPr>
      <w:r>
        <w:rPr>
          <w:rFonts w:hint="eastAsia"/>
          <w:sz w:val="28"/>
          <w:szCs w:val="28"/>
        </w:rPr>
        <w:t>藁城疾控中心在项目的实施过程中能够按照项目资金专款专用、以收定支、超支不补、厉行节约的原则进行管理，保证资金使用的安全性、有效性、公益性；经核实不存在任何形式挤占、挪用资金，擅自改变资金使用范围的情况；资金使用过程中能够严格执行国家有关法律、法规和财务规章制度。</w:t>
      </w:r>
      <w:r>
        <w:rPr>
          <w:sz w:val="28"/>
          <w:szCs w:val="28"/>
        </w:rPr>
        <w:t xml:space="preserve"> </w:t>
      </w:r>
    </w:p>
    <w:p w14:paraId="01632775">
      <w:pPr>
        <w:ind w:firstLine="560" w:firstLineChars="200"/>
        <w:rPr>
          <w:sz w:val="28"/>
          <w:szCs w:val="28"/>
        </w:rPr>
      </w:pPr>
      <w:r>
        <w:rPr>
          <w:rFonts w:hint="eastAsia"/>
          <w:sz w:val="28"/>
          <w:szCs w:val="28"/>
        </w:rPr>
        <w:t xml:space="preserve">我们通过查阅资料、实地调研、召开评估会议等多种方式，独立、客观、公正地开展评价工作，对项目的投入、过程控制、产出、效果方面进行了充分论证，该项目得分79.5分，我们认为该项目总体绩效评价等级为“良好”。 </w:t>
      </w:r>
    </w:p>
    <w:p w14:paraId="3D36D209">
      <w:pPr>
        <w:pStyle w:val="3"/>
        <w:ind w:firstLine="562" w:firstLineChars="200"/>
      </w:pPr>
      <w:bookmarkStart w:id="13" w:name="_Toc21592059"/>
      <w:r>
        <w:rPr>
          <w:rFonts w:hint="eastAsia"/>
        </w:rPr>
        <w:t>（一）项目投入</w:t>
      </w:r>
      <w:bookmarkEnd w:id="13"/>
    </w:p>
    <w:p w14:paraId="0EDBA2FD">
      <w:pPr>
        <w:ind w:firstLine="560" w:firstLineChars="200"/>
        <w:rPr>
          <w:sz w:val="28"/>
          <w:szCs w:val="28"/>
        </w:rPr>
      </w:pPr>
      <w:r>
        <w:rPr>
          <w:rFonts w:hint="eastAsia"/>
          <w:sz w:val="28"/>
          <w:szCs w:val="28"/>
        </w:rPr>
        <w:t>1、项目立项</w:t>
      </w:r>
    </w:p>
    <w:p w14:paraId="0C5185D5">
      <w:pPr>
        <w:ind w:firstLine="560" w:firstLineChars="200"/>
        <w:rPr>
          <w:sz w:val="28"/>
          <w:szCs w:val="28"/>
        </w:rPr>
      </w:pPr>
      <w:r>
        <w:rPr>
          <w:rFonts w:hint="eastAsia"/>
          <w:sz w:val="28"/>
          <w:szCs w:val="28"/>
        </w:rPr>
        <w:t>项目立项规范性：经查阅石家庄藁城区发展改革局关于藁城区疾病预防控制中心（含卫生监督所）业务用房项目可行性研究报告的批复与石家庄市藁城区疾病预防控制中心（含卫生监督所）业务用房项目可行性研究报告，该项目的申请、设立过程符合相关要求。</w:t>
      </w:r>
    </w:p>
    <w:p w14:paraId="2CDACDEE">
      <w:pPr>
        <w:ind w:firstLine="560" w:firstLineChars="200"/>
        <w:rPr>
          <w:sz w:val="28"/>
          <w:szCs w:val="28"/>
        </w:rPr>
      </w:pPr>
      <w:r>
        <w:rPr>
          <w:rFonts w:hint="eastAsia"/>
          <w:sz w:val="28"/>
          <w:szCs w:val="28"/>
        </w:rPr>
        <w:t>绩效目标合理性：经查阅石家庄藁城区发展改革局关于藁城区疾病预防控制中心（含卫生监督所）业务用房项目可行性研究报告的批复与藁城市卫生局关于公共卫生服务中心有关情况的说明，藁城区疾病预防控制中心业务用房综合楼及附属用房建设项目所设定的绩效目标依据充分，符合客观实际。</w:t>
      </w:r>
      <w:r>
        <w:rPr>
          <w:sz w:val="28"/>
          <w:szCs w:val="28"/>
        </w:rPr>
        <w:t xml:space="preserve"> </w:t>
      </w:r>
    </w:p>
    <w:p w14:paraId="4CAEC134">
      <w:pPr>
        <w:ind w:firstLine="560" w:firstLineChars="200"/>
        <w:rPr>
          <w:sz w:val="28"/>
          <w:szCs w:val="28"/>
        </w:rPr>
      </w:pPr>
      <w:r>
        <w:rPr>
          <w:rFonts w:hint="eastAsia"/>
          <w:sz w:val="28"/>
          <w:szCs w:val="28"/>
        </w:rPr>
        <w:t>绩效指标明确性：经查阅石家庄藁城区发展改革局关于藁城区疾病预防控制中心（含卫生监督所）业务用房项目可行性研究报告，该项目依据绩效目标设定的绩效指标较明确。</w:t>
      </w:r>
      <w:r>
        <w:rPr>
          <w:sz w:val="28"/>
          <w:szCs w:val="28"/>
        </w:rPr>
        <w:t xml:space="preserve"> </w:t>
      </w:r>
    </w:p>
    <w:p w14:paraId="4DD02F2E">
      <w:pPr>
        <w:ind w:firstLine="560" w:firstLineChars="200"/>
        <w:rPr>
          <w:sz w:val="28"/>
          <w:szCs w:val="28"/>
        </w:rPr>
      </w:pPr>
      <w:r>
        <w:rPr>
          <w:rFonts w:hint="eastAsia"/>
          <w:sz w:val="28"/>
          <w:szCs w:val="28"/>
        </w:rPr>
        <w:t>2、资金落实</w:t>
      </w:r>
    </w:p>
    <w:p w14:paraId="4A35D8F6">
      <w:pPr>
        <w:ind w:firstLine="560" w:firstLineChars="200"/>
        <w:rPr>
          <w:sz w:val="28"/>
          <w:szCs w:val="28"/>
        </w:rPr>
      </w:pPr>
      <w:r>
        <w:rPr>
          <w:rFonts w:hint="eastAsia"/>
          <w:sz w:val="28"/>
          <w:szCs w:val="28"/>
        </w:rPr>
        <w:t>资金到位率：经核实石家庄市藁城区疾病预防控制中心（含卫生监督所）业务用房项目计划投入资金11,390,000.00元,实际到位资金</w:t>
      </w:r>
      <w:r>
        <w:rPr>
          <w:sz w:val="28"/>
          <w:szCs w:val="28"/>
        </w:rPr>
        <w:t>16</w:t>
      </w:r>
      <w:r>
        <w:rPr>
          <w:rFonts w:hint="eastAsia"/>
          <w:sz w:val="28"/>
          <w:szCs w:val="28"/>
        </w:rPr>
        <w:t>,</w:t>
      </w:r>
      <w:r>
        <w:rPr>
          <w:sz w:val="28"/>
          <w:szCs w:val="28"/>
        </w:rPr>
        <w:t>302</w:t>
      </w:r>
      <w:r>
        <w:rPr>
          <w:rFonts w:hint="eastAsia"/>
          <w:sz w:val="28"/>
          <w:szCs w:val="28"/>
        </w:rPr>
        <w:t>,</w:t>
      </w:r>
      <w:r>
        <w:rPr>
          <w:sz w:val="28"/>
          <w:szCs w:val="28"/>
        </w:rPr>
        <w:t>324.42</w:t>
      </w:r>
      <w:r>
        <w:rPr>
          <w:rFonts w:hint="eastAsia"/>
          <w:sz w:val="28"/>
          <w:szCs w:val="28"/>
        </w:rPr>
        <w:t>元,资金到位率143.13%。</w:t>
      </w:r>
    </w:p>
    <w:p w14:paraId="7C17F197">
      <w:pPr>
        <w:ind w:firstLine="560" w:firstLineChars="200"/>
        <w:rPr>
          <w:sz w:val="28"/>
          <w:szCs w:val="28"/>
        </w:rPr>
      </w:pPr>
      <w:r>
        <w:rPr>
          <w:rFonts w:hint="eastAsia"/>
          <w:sz w:val="28"/>
          <w:szCs w:val="28"/>
        </w:rPr>
        <w:t>到位及时率：经核实石家庄市藁城区疾病预防控制中心（含卫生监督所）业务用房项目及时到位资金</w:t>
      </w:r>
      <w:r>
        <w:rPr>
          <w:sz w:val="28"/>
          <w:szCs w:val="28"/>
        </w:rPr>
        <w:t>16</w:t>
      </w:r>
      <w:r>
        <w:rPr>
          <w:rFonts w:hint="eastAsia"/>
          <w:sz w:val="28"/>
          <w:szCs w:val="28"/>
        </w:rPr>
        <w:t>,</w:t>
      </w:r>
      <w:r>
        <w:rPr>
          <w:sz w:val="28"/>
          <w:szCs w:val="28"/>
        </w:rPr>
        <w:t>302</w:t>
      </w:r>
      <w:r>
        <w:rPr>
          <w:rFonts w:hint="eastAsia"/>
          <w:sz w:val="28"/>
          <w:szCs w:val="28"/>
        </w:rPr>
        <w:t>,</w:t>
      </w:r>
      <w:r>
        <w:rPr>
          <w:sz w:val="28"/>
          <w:szCs w:val="28"/>
        </w:rPr>
        <w:t>324.42</w:t>
      </w:r>
      <w:r>
        <w:rPr>
          <w:rFonts w:hint="eastAsia"/>
          <w:sz w:val="28"/>
          <w:szCs w:val="28"/>
        </w:rPr>
        <w:t>元，应到位资金</w:t>
      </w:r>
      <w:r>
        <w:rPr>
          <w:sz w:val="28"/>
          <w:szCs w:val="28"/>
        </w:rPr>
        <w:t>16</w:t>
      </w:r>
      <w:r>
        <w:rPr>
          <w:rFonts w:hint="eastAsia"/>
          <w:sz w:val="28"/>
          <w:szCs w:val="28"/>
        </w:rPr>
        <w:t>,</w:t>
      </w:r>
      <w:r>
        <w:rPr>
          <w:sz w:val="28"/>
          <w:szCs w:val="28"/>
        </w:rPr>
        <w:t>775</w:t>
      </w:r>
      <w:r>
        <w:rPr>
          <w:rFonts w:hint="eastAsia"/>
          <w:sz w:val="28"/>
          <w:szCs w:val="28"/>
        </w:rPr>
        <w:t>,</w:t>
      </w:r>
      <w:r>
        <w:rPr>
          <w:sz w:val="28"/>
          <w:szCs w:val="28"/>
        </w:rPr>
        <w:t>095.49</w:t>
      </w:r>
      <w:r>
        <w:rPr>
          <w:rFonts w:hint="eastAsia"/>
          <w:sz w:val="28"/>
          <w:szCs w:val="28"/>
        </w:rPr>
        <w:t>元（</w:t>
      </w:r>
      <w:r>
        <w:rPr>
          <w:rFonts w:hint="eastAsia"/>
          <w:sz w:val="28"/>
          <w:szCs w:val="28"/>
          <w:lang w:val="en-US" w:eastAsia="zh-CN"/>
        </w:rPr>
        <w:t>截至</w:t>
      </w:r>
      <w:bookmarkStart w:id="18" w:name="_GoBack"/>
      <w:bookmarkEnd w:id="18"/>
      <w:r>
        <w:rPr>
          <w:rFonts w:hint="eastAsia"/>
          <w:sz w:val="28"/>
          <w:szCs w:val="28"/>
        </w:rPr>
        <w:t>2018年12月31日应付未付河北廉州建筑工程有限公司</w:t>
      </w:r>
      <w:r>
        <w:rPr>
          <w:sz w:val="28"/>
          <w:szCs w:val="28"/>
        </w:rPr>
        <w:t>472</w:t>
      </w:r>
      <w:r>
        <w:rPr>
          <w:rFonts w:hint="eastAsia"/>
          <w:sz w:val="28"/>
          <w:szCs w:val="28"/>
        </w:rPr>
        <w:t>,</w:t>
      </w:r>
      <w:r>
        <w:rPr>
          <w:sz w:val="28"/>
          <w:szCs w:val="28"/>
        </w:rPr>
        <w:t>771.07</w:t>
      </w:r>
      <w:r>
        <w:rPr>
          <w:rFonts w:hint="eastAsia"/>
          <w:sz w:val="28"/>
          <w:szCs w:val="28"/>
        </w:rPr>
        <w:t>元），到位及时率为97.18%。</w:t>
      </w:r>
    </w:p>
    <w:p w14:paraId="68F08D70">
      <w:pPr>
        <w:pStyle w:val="3"/>
        <w:ind w:firstLine="562" w:firstLineChars="200"/>
      </w:pPr>
      <w:bookmarkStart w:id="14" w:name="_Toc21592060"/>
      <w:r>
        <w:rPr>
          <w:rFonts w:hint="eastAsia"/>
        </w:rPr>
        <w:t>（二）项目实施过程</w:t>
      </w:r>
      <w:bookmarkEnd w:id="14"/>
    </w:p>
    <w:p w14:paraId="504A5C56">
      <w:pPr>
        <w:ind w:firstLine="560" w:firstLineChars="200"/>
        <w:rPr>
          <w:sz w:val="28"/>
          <w:szCs w:val="28"/>
        </w:rPr>
      </w:pPr>
      <w:r>
        <w:rPr>
          <w:rFonts w:hint="eastAsia"/>
          <w:sz w:val="28"/>
          <w:szCs w:val="28"/>
        </w:rPr>
        <w:t>1、业务管理</w:t>
      </w:r>
    </w:p>
    <w:p w14:paraId="66D8A27E">
      <w:pPr>
        <w:ind w:firstLine="560" w:firstLineChars="200"/>
        <w:rPr>
          <w:sz w:val="28"/>
          <w:szCs w:val="28"/>
        </w:rPr>
      </w:pPr>
      <w:r>
        <w:rPr>
          <w:rFonts w:hint="eastAsia"/>
          <w:sz w:val="28"/>
          <w:szCs w:val="28"/>
        </w:rPr>
        <w:t>制度执行有效性：经核实石家庄市藁城区疾病预防控制中心（含卫生监督所）业务用房项目未做竣工验收，无验收报告，扣1分，未为该项目制定人员分工，扣0.5分。</w:t>
      </w:r>
    </w:p>
    <w:p w14:paraId="0AC8B9C1">
      <w:pPr>
        <w:ind w:firstLine="560" w:firstLineChars="200"/>
        <w:rPr>
          <w:sz w:val="28"/>
          <w:szCs w:val="28"/>
        </w:rPr>
      </w:pPr>
      <w:r>
        <w:rPr>
          <w:rFonts w:hint="eastAsia"/>
          <w:sz w:val="28"/>
          <w:szCs w:val="28"/>
        </w:rPr>
        <w:t>项目质量可控性：经查阅石家庄藁城区发展改革局关于藁城区疾病预防控制中心（含卫生监督所）业务用房项目可行性研究报告，已制定相应的项目质量要求或标准，但该项目未做竣工验收，扣2分。</w:t>
      </w:r>
    </w:p>
    <w:p w14:paraId="5C41F448">
      <w:pPr>
        <w:ind w:firstLine="560" w:firstLineChars="200"/>
        <w:rPr>
          <w:sz w:val="28"/>
          <w:szCs w:val="28"/>
        </w:rPr>
      </w:pPr>
      <w:r>
        <w:rPr>
          <w:rFonts w:hint="eastAsia"/>
          <w:sz w:val="28"/>
          <w:szCs w:val="28"/>
        </w:rPr>
        <w:t>2、财务管理</w:t>
      </w:r>
    </w:p>
    <w:p w14:paraId="7AF899B1">
      <w:pPr>
        <w:ind w:firstLine="560" w:firstLineChars="200"/>
        <w:rPr>
          <w:sz w:val="28"/>
          <w:szCs w:val="28"/>
        </w:rPr>
      </w:pPr>
      <w:r>
        <w:rPr>
          <w:rFonts w:hint="eastAsia"/>
          <w:sz w:val="28"/>
          <w:szCs w:val="28"/>
        </w:rPr>
        <w:t>管理制度健全性：经核实，石家庄市藁城区疾病预防控制中心（含卫生监督所）业务用房项目未制定相应的项目资金管理办法，扣2分。</w:t>
      </w:r>
    </w:p>
    <w:p w14:paraId="5855FEC6">
      <w:pPr>
        <w:ind w:firstLine="560" w:firstLineChars="200"/>
        <w:rPr>
          <w:sz w:val="28"/>
          <w:szCs w:val="28"/>
        </w:rPr>
      </w:pPr>
      <w:r>
        <w:rPr>
          <w:rFonts w:hint="eastAsia"/>
          <w:sz w:val="28"/>
          <w:szCs w:val="28"/>
        </w:rPr>
        <w:t>资金使用合规性：经查阅与石家庄市藁城区疾病预防控制中心（含卫生监督所）业务用房项目有关的会计凭证与原始票据，项目资金使用符合相关的财务管理制度规定。</w:t>
      </w:r>
    </w:p>
    <w:p w14:paraId="17877F86">
      <w:pPr>
        <w:ind w:firstLine="560" w:firstLineChars="200"/>
        <w:rPr>
          <w:sz w:val="28"/>
          <w:szCs w:val="28"/>
        </w:rPr>
      </w:pPr>
      <w:r>
        <w:rPr>
          <w:rFonts w:hint="eastAsia"/>
          <w:sz w:val="28"/>
          <w:szCs w:val="28"/>
        </w:rPr>
        <w:t>财务监控有效性：经核实，石家庄市藁城区疾病预防控制中心制定了较完善的内部控制制度，为保障资金的安全、规范运行而采取了必要的监控措施。</w:t>
      </w:r>
    </w:p>
    <w:p w14:paraId="79034CC1">
      <w:pPr>
        <w:pStyle w:val="3"/>
        <w:ind w:firstLine="562" w:firstLineChars="200"/>
      </w:pPr>
      <w:bookmarkStart w:id="15" w:name="_Toc21592061"/>
      <w:r>
        <w:rPr>
          <w:rFonts w:hint="eastAsia"/>
        </w:rPr>
        <w:t>（三）项目产出</w:t>
      </w:r>
      <w:bookmarkEnd w:id="15"/>
    </w:p>
    <w:p w14:paraId="7695BD10">
      <w:pPr>
        <w:ind w:firstLine="560" w:firstLineChars="200"/>
        <w:rPr>
          <w:sz w:val="28"/>
          <w:szCs w:val="28"/>
        </w:rPr>
      </w:pPr>
      <w:r>
        <w:rPr>
          <w:rFonts w:hint="eastAsia"/>
          <w:sz w:val="28"/>
          <w:szCs w:val="28"/>
        </w:rPr>
        <w:t>1、项目产出</w:t>
      </w:r>
    </w:p>
    <w:p w14:paraId="2FE067FA">
      <w:pPr>
        <w:ind w:firstLine="560" w:firstLineChars="200"/>
        <w:rPr>
          <w:sz w:val="28"/>
          <w:szCs w:val="28"/>
        </w:rPr>
      </w:pPr>
      <w:r>
        <w:rPr>
          <w:rFonts w:hint="eastAsia"/>
          <w:sz w:val="28"/>
          <w:szCs w:val="28"/>
        </w:rPr>
        <w:t>实际完成率：石家庄市藁城区疾病预防控制中心（含卫生监督所）业务用房项目未做竣工验收，扣4分。</w:t>
      </w:r>
    </w:p>
    <w:p w14:paraId="5CF4BC99">
      <w:pPr>
        <w:ind w:firstLine="560" w:firstLineChars="200"/>
        <w:rPr>
          <w:sz w:val="28"/>
          <w:szCs w:val="28"/>
        </w:rPr>
      </w:pPr>
      <w:r>
        <w:rPr>
          <w:rFonts w:hint="eastAsia"/>
          <w:sz w:val="28"/>
          <w:szCs w:val="28"/>
        </w:rPr>
        <w:t>完成及时率：石家庄市藁城区疾病预防控制中心（含卫生监督所）业务用房项目未做竣工验收，扣4分。</w:t>
      </w:r>
    </w:p>
    <w:p w14:paraId="4B4A7F97">
      <w:pPr>
        <w:ind w:firstLine="560" w:firstLineChars="200"/>
        <w:rPr>
          <w:sz w:val="28"/>
          <w:szCs w:val="28"/>
        </w:rPr>
      </w:pPr>
      <w:r>
        <w:rPr>
          <w:rFonts w:hint="eastAsia"/>
          <w:sz w:val="28"/>
          <w:szCs w:val="28"/>
        </w:rPr>
        <w:t>质量达标率：经查阅石家庄市藁城区卫生监督所综合楼素混凝土桩复合地基检测报告、工程质量监督报告、河北省建设工程施工图设计文件，对石家庄市藁城区疾病预防控制中心（含卫生监督所）业务用房项目工程质量做了检测，未发现异常。</w:t>
      </w:r>
    </w:p>
    <w:p w14:paraId="71376C74">
      <w:pPr>
        <w:ind w:firstLine="560" w:firstLineChars="200"/>
        <w:rPr>
          <w:sz w:val="28"/>
          <w:szCs w:val="28"/>
        </w:rPr>
      </w:pPr>
      <w:r>
        <w:rPr>
          <w:rFonts w:hint="eastAsia"/>
          <w:sz w:val="28"/>
          <w:szCs w:val="28"/>
        </w:rPr>
        <w:t>成本节约率：经核实，石家庄市藁城区疾病预防控制中心（含卫生监督所）业务用房项目计划成本为11,390,000.00元,实际成本为</w:t>
      </w:r>
      <w:r>
        <w:rPr>
          <w:sz w:val="28"/>
          <w:szCs w:val="28"/>
        </w:rPr>
        <w:t>14</w:t>
      </w:r>
      <w:r>
        <w:rPr>
          <w:rFonts w:hint="eastAsia"/>
          <w:sz w:val="28"/>
          <w:szCs w:val="28"/>
        </w:rPr>
        <w:t>,</w:t>
      </w:r>
      <w:r>
        <w:rPr>
          <w:sz w:val="28"/>
          <w:szCs w:val="28"/>
        </w:rPr>
        <w:t>902</w:t>
      </w:r>
      <w:r>
        <w:rPr>
          <w:rFonts w:hint="eastAsia"/>
          <w:sz w:val="28"/>
          <w:szCs w:val="28"/>
        </w:rPr>
        <w:t>,</w:t>
      </w:r>
      <w:r>
        <w:rPr>
          <w:sz w:val="28"/>
          <w:szCs w:val="28"/>
        </w:rPr>
        <w:t>324.42</w:t>
      </w:r>
      <w:r>
        <w:rPr>
          <w:rFonts w:hint="eastAsia"/>
          <w:sz w:val="28"/>
          <w:szCs w:val="28"/>
        </w:rPr>
        <w:t>元（扣除2018年12月24日收到河北廉州建筑工程有限公司交来的1,400,000.00元的工程保证金），成本节约率为-30.84%，扣7分。</w:t>
      </w:r>
    </w:p>
    <w:p w14:paraId="40D94334">
      <w:pPr>
        <w:pStyle w:val="3"/>
        <w:ind w:firstLine="562" w:firstLineChars="200"/>
      </w:pPr>
      <w:bookmarkStart w:id="16" w:name="_Toc21592062"/>
      <w:r>
        <w:rPr>
          <w:rFonts w:hint="eastAsia"/>
        </w:rPr>
        <w:t>（四）项目效果</w:t>
      </w:r>
      <w:bookmarkEnd w:id="16"/>
    </w:p>
    <w:p w14:paraId="30AF867B">
      <w:pPr>
        <w:ind w:firstLine="560" w:firstLineChars="200"/>
        <w:rPr>
          <w:sz w:val="28"/>
          <w:szCs w:val="28"/>
        </w:rPr>
      </w:pPr>
      <w:r>
        <w:rPr>
          <w:rFonts w:hint="eastAsia"/>
          <w:sz w:val="28"/>
          <w:szCs w:val="28"/>
        </w:rPr>
        <w:t>1、项目效益</w:t>
      </w:r>
    </w:p>
    <w:p w14:paraId="1DE9E237">
      <w:pPr>
        <w:ind w:firstLine="560" w:firstLineChars="200"/>
        <w:rPr>
          <w:sz w:val="28"/>
          <w:szCs w:val="28"/>
        </w:rPr>
      </w:pPr>
      <w:r>
        <w:rPr>
          <w:rFonts w:hint="eastAsia"/>
          <w:sz w:val="28"/>
          <w:szCs w:val="28"/>
        </w:rPr>
        <w:t>社会效益：石家庄市藁城区疾病预防控制中心（含卫生监督所）业务用房项目的实施为保障全区人民群众疾病预防和身体健康、构建和谐社会做出了积极贡献。</w:t>
      </w:r>
    </w:p>
    <w:p w14:paraId="6D2CBAA3">
      <w:pPr>
        <w:ind w:firstLine="560" w:firstLineChars="200"/>
        <w:rPr>
          <w:sz w:val="28"/>
          <w:szCs w:val="28"/>
        </w:rPr>
      </w:pPr>
      <w:r>
        <w:rPr>
          <w:rFonts w:hint="eastAsia"/>
          <w:sz w:val="28"/>
          <w:szCs w:val="28"/>
        </w:rPr>
        <w:t>生态效益：经查阅环境评估报告，石家庄市藁城区疾病预防控制中心（含卫生监督所）业务用房项目符合环境质量要求。</w:t>
      </w:r>
    </w:p>
    <w:p w14:paraId="06C8526F">
      <w:pPr>
        <w:ind w:firstLine="560" w:firstLineChars="200"/>
        <w:rPr>
          <w:sz w:val="28"/>
          <w:szCs w:val="28"/>
        </w:rPr>
      </w:pPr>
      <w:r>
        <w:rPr>
          <w:rFonts w:hint="eastAsia"/>
          <w:sz w:val="28"/>
          <w:szCs w:val="28"/>
        </w:rPr>
        <w:t>可持续影响：石家庄市藁城区疾病预防控制中心（含卫生监督所）业务用房项目的实施对全面提升疾病防控服务能力和水平有着积极的影响作用。</w:t>
      </w:r>
    </w:p>
    <w:p w14:paraId="3D3AE512">
      <w:pPr>
        <w:pStyle w:val="3"/>
        <w:spacing w:line="415" w:lineRule="auto"/>
        <w:ind w:firstLine="562" w:firstLineChars="200"/>
      </w:pPr>
      <w:bookmarkStart w:id="17" w:name="_Toc21592063"/>
      <w:r>
        <w:rPr>
          <w:rFonts w:hint="eastAsia"/>
        </w:rPr>
        <w:t>五、存在的问题和建议</w:t>
      </w:r>
      <w:bookmarkEnd w:id="17"/>
    </w:p>
    <w:p w14:paraId="7628EAFC">
      <w:pPr>
        <w:spacing w:line="480" w:lineRule="auto"/>
        <w:ind w:firstLine="560" w:firstLineChars="200"/>
        <w:rPr>
          <w:sz w:val="28"/>
          <w:szCs w:val="28"/>
        </w:rPr>
      </w:pPr>
      <w:r>
        <w:rPr>
          <w:rFonts w:hint="eastAsia"/>
          <w:sz w:val="28"/>
          <w:szCs w:val="28"/>
        </w:rPr>
        <w:t>1、经核实藁城区疾病预防控制中心业务用房综合楼及附属用房建设（含卫生监督所）工程款付款凭证未附工程结算书，无法判定已完成工程量与每次结算金额之间的关系。</w:t>
      </w:r>
    </w:p>
    <w:p w14:paraId="5E1DA153">
      <w:pPr>
        <w:spacing w:line="480" w:lineRule="auto"/>
        <w:ind w:firstLine="560" w:firstLineChars="200"/>
        <w:rPr>
          <w:sz w:val="28"/>
          <w:szCs w:val="28"/>
        </w:rPr>
      </w:pPr>
      <w:r>
        <w:rPr>
          <w:rFonts w:hint="eastAsia"/>
          <w:sz w:val="28"/>
          <w:szCs w:val="28"/>
        </w:rPr>
        <w:t>建议：补充凭证后附工程结算书，使付款有据可依。</w:t>
      </w:r>
    </w:p>
    <w:p w14:paraId="61820302">
      <w:pPr>
        <w:spacing w:line="480" w:lineRule="auto"/>
        <w:rPr>
          <w:sz w:val="28"/>
          <w:szCs w:val="28"/>
        </w:rPr>
      </w:pPr>
      <w:r>
        <w:rPr>
          <w:rFonts w:hint="eastAsia"/>
          <w:sz w:val="28"/>
          <w:szCs w:val="28"/>
        </w:rPr>
        <w:t xml:space="preserve">   2、2015年12月3号凭证付河北翔宇工程造价咨询有限公司评审费30,000.00元,付河北朝位工程设计咨询有限公司审图费16,000.00元，未签订相关合同；</w:t>
      </w:r>
    </w:p>
    <w:p w14:paraId="617D254C">
      <w:pPr>
        <w:spacing w:line="480" w:lineRule="auto"/>
        <w:ind w:firstLine="560" w:firstLineChars="200"/>
        <w:rPr>
          <w:sz w:val="28"/>
          <w:szCs w:val="28"/>
        </w:rPr>
      </w:pPr>
      <w:r>
        <w:rPr>
          <w:rFonts w:hint="eastAsia"/>
          <w:sz w:val="28"/>
          <w:szCs w:val="28"/>
        </w:rPr>
        <w:t>道路硬化、围墙建设工程由河北廉州建筑工程有限公司承建，未签订建筑施工合同。</w:t>
      </w:r>
    </w:p>
    <w:p w14:paraId="6005CBCA">
      <w:pPr>
        <w:spacing w:line="480" w:lineRule="auto"/>
        <w:ind w:firstLine="560" w:firstLineChars="200"/>
        <w:rPr>
          <w:sz w:val="28"/>
          <w:szCs w:val="28"/>
        </w:rPr>
      </w:pPr>
      <w:r>
        <w:rPr>
          <w:rFonts w:hint="eastAsia"/>
          <w:sz w:val="28"/>
          <w:szCs w:val="28"/>
        </w:rPr>
        <w:t>建议：严格按照《石家庄市藁城区疾病预防控制中心关于印发单位内部控制工作手册的通知》第八章二百零七条“11.对外发生经济行为，除即时结清方式外，应当订立书面合同”的要求签订正式书面合同，明确双方权利与义务。</w:t>
      </w:r>
    </w:p>
    <w:p w14:paraId="021CAAF8">
      <w:pPr>
        <w:spacing w:line="480" w:lineRule="auto"/>
        <w:ind w:firstLine="560" w:firstLineChars="200"/>
        <w:rPr>
          <w:sz w:val="28"/>
          <w:szCs w:val="28"/>
        </w:rPr>
      </w:pPr>
      <w:r>
        <w:rPr>
          <w:rFonts w:hint="eastAsia"/>
          <w:sz w:val="28"/>
          <w:szCs w:val="28"/>
        </w:rPr>
        <w:t>3、经核实，藁城区疾病预防控制中心业务用房综合楼及附属用房建设（含卫生监督所）项目未建立项目合同台账。</w:t>
      </w:r>
    </w:p>
    <w:p w14:paraId="3F10B6C5">
      <w:pPr>
        <w:spacing w:line="480" w:lineRule="auto"/>
        <w:ind w:firstLine="560" w:firstLineChars="200"/>
        <w:rPr>
          <w:sz w:val="28"/>
          <w:szCs w:val="28"/>
        </w:rPr>
      </w:pPr>
      <w:r>
        <w:rPr>
          <w:rFonts w:hint="eastAsia"/>
          <w:sz w:val="28"/>
          <w:szCs w:val="28"/>
        </w:rPr>
        <w:t>建议：合同是财务管理和会计核算的重要基础。建筑施工合同，规定了工程名称、工程范围、工作内容、工程量、造价等重要信息，是会计审核付款的依据，也是确定成本对象和成本分配内容及分配比率的重要参考，贵单位应根据每项工程的具体情况建立合同台账，加强对工程项目的辅助核算 ，以便全方位掌握工程项目的进展。</w:t>
      </w:r>
    </w:p>
    <w:p w14:paraId="28B04B89">
      <w:pPr>
        <w:spacing w:line="480" w:lineRule="auto"/>
        <w:ind w:firstLine="560" w:firstLineChars="200"/>
        <w:rPr>
          <w:sz w:val="28"/>
          <w:szCs w:val="28"/>
        </w:rPr>
      </w:pPr>
      <w:r>
        <w:rPr>
          <w:rFonts w:hint="eastAsia"/>
          <w:sz w:val="28"/>
          <w:szCs w:val="28"/>
        </w:rPr>
        <w:t>4、经核实，藁城区疾病预防控制中心业务用房综合楼及附属用房（含卫生监督所）已投入使用，但该项目未做竣工决算与验收。</w:t>
      </w:r>
    </w:p>
    <w:p w14:paraId="23135718">
      <w:pPr>
        <w:spacing w:line="480" w:lineRule="auto"/>
        <w:ind w:firstLine="560" w:firstLineChars="200"/>
        <w:rPr>
          <w:sz w:val="28"/>
          <w:szCs w:val="28"/>
        </w:rPr>
      </w:pPr>
      <w:r>
        <w:rPr>
          <w:rFonts w:hint="eastAsia"/>
          <w:sz w:val="28"/>
          <w:szCs w:val="28"/>
        </w:rPr>
        <w:t>建议：尽快办理竣工决算与验收手续，完善项目建设流程。</w:t>
      </w:r>
    </w:p>
    <w:p w14:paraId="317BFC9B">
      <w:pPr>
        <w:autoSpaceDE w:val="0"/>
        <w:autoSpaceDN w:val="0"/>
        <w:adjustRightInd w:val="0"/>
        <w:spacing w:line="480" w:lineRule="auto"/>
        <w:ind w:firstLine="560" w:firstLineChars="200"/>
        <w:jc w:val="left"/>
        <w:rPr>
          <w:rFonts w:ascii="宋体" w:hAnsi="宋体"/>
          <w:color w:val="000000"/>
          <w:kern w:val="0"/>
          <w:sz w:val="28"/>
          <w:szCs w:val="28"/>
        </w:rPr>
      </w:pPr>
    </w:p>
    <w:p w14:paraId="1BC2E2B4">
      <w:pPr>
        <w:autoSpaceDE w:val="0"/>
        <w:autoSpaceDN w:val="0"/>
        <w:adjustRightInd w:val="0"/>
        <w:spacing w:line="480" w:lineRule="auto"/>
        <w:ind w:firstLine="560" w:firstLineChars="200"/>
        <w:jc w:val="left"/>
        <w:rPr>
          <w:rFonts w:ascii="宋体" w:hAnsi="宋体"/>
          <w:color w:val="000000"/>
          <w:kern w:val="0"/>
          <w:sz w:val="28"/>
          <w:szCs w:val="28"/>
        </w:rPr>
      </w:pPr>
      <w:r>
        <w:rPr>
          <w:rFonts w:hint="eastAsia" w:ascii="宋体" w:hAnsi="宋体"/>
          <w:color w:val="000000"/>
          <w:kern w:val="0"/>
          <w:sz w:val="28"/>
          <w:szCs w:val="28"/>
        </w:rPr>
        <w:t>附：藁城区疾病预防控制中心(含卫生监督所)业务用房项目资金绩效评价表</w:t>
      </w:r>
    </w:p>
    <w:p w14:paraId="1BD33D59">
      <w:pPr>
        <w:autoSpaceDE w:val="0"/>
        <w:autoSpaceDN w:val="0"/>
        <w:adjustRightInd w:val="0"/>
        <w:spacing w:line="480" w:lineRule="auto"/>
        <w:ind w:firstLine="560" w:firstLineChars="200"/>
        <w:jc w:val="left"/>
        <w:rPr>
          <w:rFonts w:ascii="宋体" w:hAnsi="宋体"/>
          <w:color w:val="000000"/>
          <w:kern w:val="0"/>
          <w:sz w:val="28"/>
          <w:szCs w:val="28"/>
        </w:rPr>
      </w:pPr>
    </w:p>
    <w:p w14:paraId="70DDEF88">
      <w:pPr>
        <w:autoSpaceDE w:val="0"/>
        <w:autoSpaceDN w:val="0"/>
        <w:adjustRightInd w:val="0"/>
        <w:spacing w:line="480" w:lineRule="auto"/>
        <w:ind w:right="140" w:firstLine="560" w:firstLineChars="200"/>
        <w:jc w:val="right"/>
        <w:rPr>
          <w:rFonts w:ascii="宋体" w:hAnsi="宋体"/>
          <w:color w:val="000000"/>
          <w:kern w:val="0"/>
          <w:sz w:val="28"/>
          <w:szCs w:val="28"/>
        </w:rPr>
      </w:pPr>
      <w:r>
        <w:rPr>
          <w:rFonts w:hint="eastAsia" w:ascii="宋体" w:hAnsi="宋体"/>
          <w:color w:val="000000"/>
          <w:kern w:val="0"/>
          <w:sz w:val="28"/>
          <w:szCs w:val="28"/>
        </w:rPr>
        <w:t>藁城区财政局</w:t>
      </w:r>
    </w:p>
    <w:p w14:paraId="1C4A04F6">
      <w:pPr>
        <w:autoSpaceDE w:val="0"/>
        <w:autoSpaceDN w:val="0"/>
        <w:adjustRightInd w:val="0"/>
        <w:spacing w:line="480" w:lineRule="auto"/>
        <w:jc w:val="right"/>
        <w:rPr>
          <w:rFonts w:ascii="宋体" w:hAnsi="宋体"/>
          <w:color w:val="000000"/>
          <w:kern w:val="0"/>
          <w:sz w:val="28"/>
          <w:szCs w:val="28"/>
        </w:rPr>
      </w:pPr>
      <w:r>
        <w:rPr>
          <w:rFonts w:hint="eastAsia" w:ascii="宋体" w:hAnsi="宋体"/>
          <w:color w:val="000000"/>
          <w:kern w:val="0"/>
          <w:sz w:val="28"/>
          <w:szCs w:val="28"/>
        </w:rPr>
        <w:t xml:space="preserve">                     201</w:t>
      </w:r>
      <w:r>
        <w:rPr>
          <w:rFonts w:ascii="宋体" w:hAnsi="宋体"/>
          <w:color w:val="000000"/>
          <w:kern w:val="0"/>
          <w:sz w:val="28"/>
          <w:szCs w:val="28"/>
        </w:rPr>
        <w:t>9</w:t>
      </w:r>
      <w:r>
        <w:rPr>
          <w:rFonts w:hint="eastAsia" w:ascii="宋体" w:hAnsi="宋体"/>
          <w:color w:val="000000"/>
          <w:kern w:val="0"/>
          <w:sz w:val="28"/>
          <w:szCs w:val="28"/>
        </w:rPr>
        <w:t>年10月8日</w:t>
      </w:r>
    </w:p>
    <w:sectPr>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84964">
    <w:pPr>
      <w:pStyle w:val="8"/>
      <w:jc w:val="center"/>
    </w:pPr>
  </w:p>
  <w:p w14:paraId="04EDE7B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9882836"/>
      <w:docPartObj>
        <w:docPartGallery w:val="AutoText"/>
      </w:docPartObj>
    </w:sdtPr>
    <w:sdtContent>
      <w:p w14:paraId="13ECEFCC">
        <w:pPr>
          <w:pStyle w:val="8"/>
          <w:jc w:val="center"/>
        </w:pPr>
        <w:r>
          <w:fldChar w:fldCharType="begin"/>
        </w:r>
        <w:r>
          <w:instrText xml:space="preserve">PAGE   \* MERGEFORMAT</w:instrText>
        </w:r>
        <w:r>
          <w:fldChar w:fldCharType="separate"/>
        </w:r>
        <w:r>
          <w:rPr>
            <w:lang w:val="zh-CN"/>
          </w:rPr>
          <w:t>7</w:t>
        </w:r>
        <w:r>
          <w:fldChar w:fldCharType="end"/>
        </w:r>
      </w:p>
    </w:sdtContent>
  </w:sdt>
  <w:p w14:paraId="365099B9"/>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3F090E"/>
    <w:rsid w:val="00001415"/>
    <w:rsid w:val="0000311B"/>
    <w:rsid w:val="000034DC"/>
    <w:rsid w:val="0000356A"/>
    <w:rsid w:val="00003CB2"/>
    <w:rsid w:val="00005660"/>
    <w:rsid w:val="00005881"/>
    <w:rsid w:val="000079A5"/>
    <w:rsid w:val="00007C6F"/>
    <w:rsid w:val="00007F6C"/>
    <w:rsid w:val="00010F7B"/>
    <w:rsid w:val="00015E58"/>
    <w:rsid w:val="0001667F"/>
    <w:rsid w:val="0002173D"/>
    <w:rsid w:val="00021DAE"/>
    <w:rsid w:val="000237F8"/>
    <w:rsid w:val="0002499B"/>
    <w:rsid w:val="0002619B"/>
    <w:rsid w:val="00026579"/>
    <w:rsid w:val="00026F54"/>
    <w:rsid w:val="00030AF6"/>
    <w:rsid w:val="00030E2B"/>
    <w:rsid w:val="0003237D"/>
    <w:rsid w:val="000329FA"/>
    <w:rsid w:val="00032B30"/>
    <w:rsid w:val="00032E47"/>
    <w:rsid w:val="000378C1"/>
    <w:rsid w:val="00045EA6"/>
    <w:rsid w:val="00047A44"/>
    <w:rsid w:val="00055AC5"/>
    <w:rsid w:val="00055CC1"/>
    <w:rsid w:val="00055CE0"/>
    <w:rsid w:val="00057B72"/>
    <w:rsid w:val="00060285"/>
    <w:rsid w:val="000635D8"/>
    <w:rsid w:val="000671C6"/>
    <w:rsid w:val="00074E43"/>
    <w:rsid w:val="00076226"/>
    <w:rsid w:val="000772B6"/>
    <w:rsid w:val="0008001D"/>
    <w:rsid w:val="00080FAD"/>
    <w:rsid w:val="00083B04"/>
    <w:rsid w:val="00084217"/>
    <w:rsid w:val="000861CF"/>
    <w:rsid w:val="00087084"/>
    <w:rsid w:val="00087145"/>
    <w:rsid w:val="00090725"/>
    <w:rsid w:val="00091EF6"/>
    <w:rsid w:val="00092B21"/>
    <w:rsid w:val="0009324D"/>
    <w:rsid w:val="00095188"/>
    <w:rsid w:val="00096F57"/>
    <w:rsid w:val="000A418C"/>
    <w:rsid w:val="000A64EC"/>
    <w:rsid w:val="000B027E"/>
    <w:rsid w:val="000B183E"/>
    <w:rsid w:val="000B2708"/>
    <w:rsid w:val="000B793C"/>
    <w:rsid w:val="000C147A"/>
    <w:rsid w:val="000D03F3"/>
    <w:rsid w:val="000D0B9C"/>
    <w:rsid w:val="000D5137"/>
    <w:rsid w:val="000E1C4A"/>
    <w:rsid w:val="000E21DF"/>
    <w:rsid w:val="000E3CAC"/>
    <w:rsid w:val="000E7B8E"/>
    <w:rsid w:val="000F01E6"/>
    <w:rsid w:val="000F061E"/>
    <w:rsid w:val="000F0B7C"/>
    <w:rsid w:val="000F0C22"/>
    <w:rsid w:val="000F375F"/>
    <w:rsid w:val="000F4CC8"/>
    <w:rsid w:val="000F59EC"/>
    <w:rsid w:val="0010053E"/>
    <w:rsid w:val="00102000"/>
    <w:rsid w:val="00102B5F"/>
    <w:rsid w:val="001055B1"/>
    <w:rsid w:val="00105C5E"/>
    <w:rsid w:val="00111428"/>
    <w:rsid w:val="00111AA0"/>
    <w:rsid w:val="00112530"/>
    <w:rsid w:val="0012121B"/>
    <w:rsid w:val="00121D10"/>
    <w:rsid w:val="0012268E"/>
    <w:rsid w:val="00123548"/>
    <w:rsid w:val="0012372C"/>
    <w:rsid w:val="00126AA7"/>
    <w:rsid w:val="0012753F"/>
    <w:rsid w:val="00131792"/>
    <w:rsid w:val="001317E1"/>
    <w:rsid w:val="00132595"/>
    <w:rsid w:val="00133434"/>
    <w:rsid w:val="00133D90"/>
    <w:rsid w:val="001347F5"/>
    <w:rsid w:val="00135135"/>
    <w:rsid w:val="00140775"/>
    <w:rsid w:val="001415A9"/>
    <w:rsid w:val="001426EA"/>
    <w:rsid w:val="001448A7"/>
    <w:rsid w:val="00144A52"/>
    <w:rsid w:val="00145479"/>
    <w:rsid w:val="001505D8"/>
    <w:rsid w:val="00150766"/>
    <w:rsid w:val="00156162"/>
    <w:rsid w:val="00156595"/>
    <w:rsid w:val="0015752A"/>
    <w:rsid w:val="00157B17"/>
    <w:rsid w:val="0016006F"/>
    <w:rsid w:val="0016128C"/>
    <w:rsid w:val="00162C93"/>
    <w:rsid w:val="00167DDA"/>
    <w:rsid w:val="00170DAF"/>
    <w:rsid w:val="00170EC5"/>
    <w:rsid w:val="001717A5"/>
    <w:rsid w:val="001763AA"/>
    <w:rsid w:val="00176932"/>
    <w:rsid w:val="001800F2"/>
    <w:rsid w:val="00181CDB"/>
    <w:rsid w:val="0018372D"/>
    <w:rsid w:val="0018455C"/>
    <w:rsid w:val="00184F22"/>
    <w:rsid w:val="001871E8"/>
    <w:rsid w:val="00191BA5"/>
    <w:rsid w:val="00193EED"/>
    <w:rsid w:val="0019415C"/>
    <w:rsid w:val="001945C3"/>
    <w:rsid w:val="0019703E"/>
    <w:rsid w:val="00197710"/>
    <w:rsid w:val="001A1A43"/>
    <w:rsid w:val="001B0173"/>
    <w:rsid w:val="001B0544"/>
    <w:rsid w:val="001B4985"/>
    <w:rsid w:val="001B7B22"/>
    <w:rsid w:val="001C043C"/>
    <w:rsid w:val="001C112A"/>
    <w:rsid w:val="001C151D"/>
    <w:rsid w:val="001C1B9B"/>
    <w:rsid w:val="001C2314"/>
    <w:rsid w:val="001C28B0"/>
    <w:rsid w:val="001C2D30"/>
    <w:rsid w:val="001D0080"/>
    <w:rsid w:val="001D1662"/>
    <w:rsid w:val="001D25CE"/>
    <w:rsid w:val="001D4486"/>
    <w:rsid w:val="001D4950"/>
    <w:rsid w:val="001D530F"/>
    <w:rsid w:val="001D6100"/>
    <w:rsid w:val="001D7552"/>
    <w:rsid w:val="001E16DB"/>
    <w:rsid w:val="001E5FD3"/>
    <w:rsid w:val="001E6526"/>
    <w:rsid w:val="001E697E"/>
    <w:rsid w:val="001F01D1"/>
    <w:rsid w:val="001F04FD"/>
    <w:rsid w:val="001F0DEC"/>
    <w:rsid w:val="001F42B6"/>
    <w:rsid w:val="001F572C"/>
    <w:rsid w:val="001F58D9"/>
    <w:rsid w:val="00202723"/>
    <w:rsid w:val="002039D6"/>
    <w:rsid w:val="00204106"/>
    <w:rsid w:val="00214D10"/>
    <w:rsid w:val="00215DE8"/>
    <w:rsid w:val="002165D2"/>
    <w:rsid w:val="002178C4"/>
    <w:rsid w:val="00217EB9"/>
    <w:rsid w:val="002207D0"/>
    <w:rsid w:val="00220A19"/>
    <w:rsid w:val="002238D9"/>
    <w:rsid w:val="00224449"/>
    <w:rsid w:val="00225FE6"/>
    <w:rsid w:val="002265F4"/>
    <w:rsid w:val="002274E1"/>
    <w:rsid w:val="00230797"/>
    <w:rsid w:val="002349AD"/>
    <w:rsid w:val="00235FB7"/>
    <w:rsid w:val="0023642D"/>
    <w:rsid w:val="002455FA"/>
    <w:rsid w:val="002509CA"/>
    <w:rsid w:val="00252345"/>
    <w:rsid w:val="00256332"/>
    <w:rsid w:val="00256573"/>
    <w:rsid w:val="002619D2"/>
    <w:rsid w:val="00262125"/>
    <w:rsid w:val="00262A5E"/>
    <w:rsid w:val="0026340B"/>
    <w:rsid w:val="00265D9A"/>
    <w:rsid w:val="0026694C"/>
    <w:rsid w:val="002670DF"/>
    <w:rsid w:val="0027065A"/>
    <w:rsid w:val="002713F1"/>
    <w:rsid w:val="00271A35"/>
    <w:rsid w:val="00273DB5"/>
    <w:rsid w:val="00274E0A"/>
    <w:rsid w:val="0027558C"/>
    <w:rsid w:val="002759AA"/>
    <w:rsid w:val="00276BC2"/>
    <w:rsid w:val="002776DA"/>
    <w:rsid w:val="002812F9"/>
    <w:rsid w:val="002820E7"/>
    <w:rsid w:val="002826B4"/>
    <w:rsid w:val="00282B4F"/>
    <w:rsid w:val="00283091"/>
    <w:rsid w:val="00283A32"/>
    <w:rsid w:val="00285462"/>
    <w:rsid w:val="00291575"/>
    <w:rsid w:val="002939EE"/>
    <w:rsid w:val="0029542B"/>
    <w:rsid w:val="00297440"/>
    <w:rsid w:val="002977BD"/>
    <w:rsid w:val="00297946"/>
    <w:rsid w:val="002A1E04"/>
    <w:rsid w:val="002A25FD"/>
    <w:rsid w:val="002A3221"/>
    <w:rsid w:val="002A3CA7"/>
    <w:rsid w:val="002B1417"/>
    <w:rsid w:val="002B25F6"/>
    <w:rsid w:val="002B2C5C"/>
    <w:rsid w:val="002B4E6D"/>
    <w:rsid w:val="002B5197"/>
    <w:rsid w:val="002B6468"/>
    <w:rsid w:val="002B7DB2"/>
    <w:rsid w:val="002C0D87"/>
    <w:rsid w:val="002C16BB"/>
    <w:rsid w:val="002C2420"/>
    <w:rsid w:val="002C5574"/>
    <w:rsid w:val="002C569C"/>
    <w:rsid w:val="002C6908"/>
    <w:rsid w:val="002C7572"/>
    <w:rsid w:val="002D1111"/>
    <w:rsid w:val="002D1D3E"/>
    <w:rsid w:val="002D69B5"/>
    <w:rsid w:val="002D7BE7"/>
    <w:rsid w:val="002E3216"/>
    <w:rsid w:val="002E3B24"/>
    <w:rsid w:val="002E594F"/>
    <w:rsid w:val="002E6469"/>
    <w:rsid w:val="002E6545"/>
    <w:rsid w:val="002F01C7"/>
    <w:rsid w:val="002F42B8"/>
    <w:rsid w:val="002F6B2E"/>
    <w:rsid w:val="002F72F8"/>
    <w:rsid w:val="002F7598"/>
    <w:rsid w:val="00300274"/>
    <w:rsid w:val="00301FB6"/>
    <w:rsid w:val="003020A1"/>
    <w:rsid w:val="00302CAA"/>
    <w:rsid w:val="00302EE1"/>
    <w:rsid w:val="00306086"/>
    <w:rsid w:val="0031030B"/>
    <w:rsid w:val="00312138"/>
    <w:rsid w:val="0031375C"/>
    <w:rsid w:val="00315A09"/>
    <w:rsid w:val="00324D5A"/>
    <w:rsid w:val="0032596E"/>
    <w:rsid w:val="00327448"/>
    <w:rsid w:val="003347BC"/>
    <w:rsid w:val="00336DB6"/>
    <w:rsid w:val="00340164"/>
    <w:rsid w:val="003423C2"/>
    <w:rsid w:val="00342B46"/>
    <w:rsid w:val="00343223"/>
    <w:rsid w:val="00343BDD"/>
    <w:rsid w:val="00343D82"/>
    <w:rsid w:val="00346776"/>
    <w:rsid w:val="003469A8"/>
    <w:rsid w:val="00347050"/>
    <w:rsid w:val="00360C8C"/>
    <w:rsid w:val="00363683"/>
    <w:rsid w:val="00364983"/>
    <w:rsid w:val="0036535E"/>
    <w:rsid w:val="00365A6E"/>
    <w:rsid w:val="00365D9B"/>
    <w:rsid w:val="003709C1"/>
    <w:rsid w:val="00377620"/>
    <w:rsid w:val="00377627"/>
    <w:rsid w:val="003806BF"/>
    <w:rsid w:val="00381E32"/>
    <w:rsid w:val="0038355A"/>
    <w:rsid w:val="00384D8D"/>
    <w:rsid w:val="00385DF8"/>
    <w:rsid w:val="00386A02"/>
    <w:rsid w:val="00386A2D"/>
    <w:rsid w:val="00386DE2"/>
    <w:rsid w:val="003877EF"/>
    <w:rsid w:val="00387DA2"/>
    <w:rsid w:val="003906C8"/>
    <w:rsid w:val="00390FF1"/>
    <w:rsid w:val="00392122"/>
    <w:rsid w:val="003951D8"/>
    <w:rsid w:val="0039786D"/>
    <w:rsid w:val="003A201F"/>
    <w:rsid w:val="003A3C5A"/>
    <w:rsid w:val="003B4AEC"/>
    <w:rsid w:val="003B569C"/>
    <w:rsid w:val="003B63E3"/>
    <w:rsid w:val="003B6FA6"/>
    <w:rsid w:val="003B732B"/>
    <w:rsid w:val="003B79C0"/>
    <w:rsid w:val="003C1935"/>
    <w:rsid w:val="003C297D"/>
    <w:rsid w:val="003D1EC7"/>
    <w:rsid w:val="003D22B7"/>
    <w:rsid w:val="003D3580"/>
    <w:rsid w:val="003D413D"/>
    <w:rsid w:val="003D597C"/>
    <w:rsid w:val="003D7B40"/>
    <w:rsid w:val="003D7D45"/>
    <w:rsid w:val="003E7DB6"/>
    <w:rsid w:val="003F0030"/>
    <w:rsid w:val="003F05BF"/>
    <w:rsid w:val="003F090E"/>
    <w:rsid w:val="003F2C7B"/>
    <w:rsid w:val="003F4176"/>
    <w:rsid w:val="003F446A"/>
    <w:rsid w:val="003F65B2"/>
    <w:rsid w:val="00402E2C"/>
    <w:rsid w:val="00404B71"/>
    <w:rsid w:val="004050B5"/>
    <w:rsid w:val="00406E02"/>
    <w:rsid w:val="00410299"/>
    <w:rsid w:val="004104C6"/>
    <w:rsid w:val="00410B09"/>
    <w:rsid w:val="00411DA9"/>
    <w:rsid w:val="00416ACF"/>
    <w:rsid w:val="00420218"/>
    <w:rsid w:val="004203B6"/>
    <w:rsid w:val="00421B44"/>
    <w:rsid w:val="00421C32"/>
    <w:rsid w:val="00427A93"/>
    <w:rsid w:val="004302EA"/>
    <w:rsid w:val="00430C6B"/>
    <w:rsid w:val="00431A47"/>
    <w:rsid w:val="004329A8"/>
    <w:rsid w:val="00432BF7"/>
    <w:rsid w:val="00432C10"/>
    <w:rsid w:val="00433621"/>
    <w:rsid w:val="00433DAD"/>
    <w:rsid w:val="00434AE3"/>
    <w:rsid w:val="00435B26"/>
    <w:rsid w:val="00436FF7"/>
    <w:rsid w:val="00440D76"/>
    <w:rsid w:val="0044689F"/>
    <w:rsid w:val="00450D46"/>
    <w:rsid w:val="004524CD"/>
    <w:rsid w:val="0045624E"/>
    <w:rsid w:val="0045634A"/>
    <w:rsid w:val="00462444"/>
    <w:rsid w:val="00463780"/>
    <w:rsid w:val="0046414B"/>
    <w:rsid w:val="0046430F"/>
    <w:rsid w:val="0046622F"/>
    <w:rsid w:val="0046626B"/>
    <w:rsid w:val="00467BED"/>
    <w:rsid w:val="00470133"/>
    <w:rsid w:val="0047028E"/>
    <w:rsid w:val="00471630"/>
    <w:rsid w:val="004732C3"/>
    <w:rsid w:val="00473A2E"/>
    <w:rsid w:val="00474BC0"/>
    <w:rsid w:val="00481440"/>
    <w:rsid w:val="0048263F"/>
    <w:rsid w:val="00482918"/>
    <w:rsid w:val="00483481"/>
    <w:rsid w:val="00492FC3"/>
    <w:rsid w:val="00493A8E"/>
    <w:rsid w:val="00493A92"/>
    <w:rsid w:val="00493BEF"/>
    <w:rsid w:val="004948E3"/>
    <w:rsid w:val="004958C3"/>
    <w:rsid w:val="004975A9"/>
    <w:rsid w:val="004A09F3"/>
    <w:rsid w:val="004A5A95"/>
    <w:rsid w:val="004B063B"/>
    <w:rsid w:val="004B404C"/>
    <w:rsid w:val="004B553D"/>
    <w:rsid w:val="004B7227"/>
    <w:rsid w:val="004B77ED"/>
    <w:rsid w:val="004C1A91"/>
    <w:rsid w:val="004C2949"/>
    <w:rsid w:val="004C4F52"/>
    <w:rsid w:val="004C5088"/>
    <w:rsid w:val="004C515A"/>
    <w:rsid w:val="004D29A3"/>
    <w:rsid w:val="004D445A"/>
    <w:rsid w:val="004D4A1C"/>
    <w:rsid w:val="004D5D9F"/>
    <w:rsid w:val="004D6579"/>
    <w:rsid w:val="004E173E"/>
    <w:rsid w:val="004E329E"/>
    <w:rsid w:val="004E69A5"/>
    <w:rsid w:val="004E6ECF"/>
    <w:rsid w:val="004F17E0"/>
    <w:rsid w:val="004F2470"/>
    <w:rsid w:val="004F2AFE"/>
    <w:rsid w:val="004F6185"/>
    <w:rsid w:val="004F6B5C"/>
    <w:rsid w:val="004F7F77"/>
    <w:rsid w:val="005019DC"/>
    <w:rsid w:val="0050321C"/>
    <w:rsid w:val="005048C7"/>
    <w:rsid w:val="00506D9B"/>
    <w:rsid w:val="005109DC"/>
    <w:rsid w:val="00510AD0"/>
    <w:rsid w:val="00511FC6"/>
    <w:rsid w:val="00513C27"/>
    <w:rsid w:val="00513D68"/>
    <w:rsid w:val="00514027"/>
    <w:rsid w:val="005162B2"/>
    <w:rsid w:val="005179DE"/>
    <w:rsid w:val="00520B70"/>
    <w:rsid w:val="00520EAF"/>
    <w:rsid w:val="00521B03"/>
    <w:rsid w:val="00521E9A"/>
    <w:rsid w:val="00522E3E"/>
    <w:rsid w:val="0052385E"/>
    <w:rsid w:val="00524B37"/>
    <w:rsid w:val="00525E5C"/>
    <w:rsid w:val="005269C6"/>
    <w:rsid w:val="005338C6"/>
    <w:rsid w:val="00534332"/>
    <w:rsid w:val="005343C8"/>
    <w:rsid w:val="00540746"/>
    <w:rsid w:val="00545665"/>
    <w:rsid w:val="0054643C"/>
    <w:rsid w:val="005531E6"/>
    <w:rsid w:val="00553F1E"/>
    <w:rsid w:val="00556C03"/>
    <w:rsid w:val="00556F04"/>
    <w:rsid w:val="005572B7"/>
    <w:rsid w:val="00561CAD"/>
    <w:rsid w:val="00561DCF"/>
    <w:rsid w:val="00564BE7"/>
    <w:rsid w:val="00565238"/>
    <w:rsid w:val="005655BF"/>
    <w:rsid w:val="005656C9"/>
    <w:rsid w:val="00567002"/>
    <w:rsid w:val="00570F55"/>
    <w:rsid w:val="00571232"/>
    <w:rsid w:val="00572EDD"/>
    <w:rsid w:val="00573A8E"/>
    <w:rsid w:val="00573FBE"/>
    <w:rsid w:val="005769B0"/>
    <w:rsid w:val="00577C1D"/>
    <w:rsid w:val="0058056B"/>
    <w:rsid w:val="00581BE1"/>
    <w:rsid w:val="00585A27"/>
    <w:rsid w:val="005873A5"/>
    <w:rsid w:val="00587E14"/>
    <w:rsid w:val="0059142C"/>
    <w:rsid w:val="0059220F"/>
    <w:rsid w:val="00594110"/>
    <w:rsid w:val="005967B8"/>
    <w:rsid w:val="005A0D6C"/>
    <w:rsid w:val="005B02F3"/>
    <w:rsid w:val="005B3E3D"/>
    <w:rsid w:val="005B3E44"/>
    <w:rsid w:val="005B5025"/>
    <w:rsid w:val="005B6B4B"/>
    <w:rsid w:val="005B7AF5"/>
    <w:rsid w:val="005C0644"/>
    <w:rsid w:val="005C2A9D"/>
    <w:rsid w:val="005C36F8"/>
    <w:rsid w:val="005C5B64"/>
    <w:rsid w:val="005C7830"/>
    <w:rsid w:val="005D33EC"/>
    <w:rsid w:val="005E44DC"/>
    <w:rsid w:val="005E45EB"/>
    <w:rsid w:val="005E5FF2"/>
    <w:rsid w:val="005F3170"/>
    <w:rsid w:val="005F4B1F"/>
    <w:rsid w:val="005F747A"/>
    <w:rsid w:val="005F7975"/>
    <w:rsid w:val="00600310"/>
    <w:rsid w:val="00600BB0"/>
    <w:rsid w:val="006012B3"/>
    <w:rsid w:val="00603CA7"/>
    <w:rsid w:val="00604099"/>
    <w:rsid w:val="00604472"/>
    <w:rsid w:val="006066CB"/>
    <w:rsid w:val="00610575"/>
    <w:rsid w:val="006108C3"/>
    <w:rsid w:val="006120EE"/>
    <w:rsid w:val="00614EDF"/>
    <w:rsid w:val="00615A0E"/>
    <w:rsid w:val="00616450"/>
    <w:rsid w:val="00617832"/>
    <w:rsid w:val="0062622A"/>
    <w:rsid w:val="00626D35"/>
    <w:rsid w:val="00632E65"/>
    <w:rsid w:val="0063405B"/>
    <w:rsid w:val="00636A0A"/>
    <w:rsid w:val="00640298"/>
    <w:rsid w:val="00640FE0"/>
    <w:rsid w:val="00641E6C"/>
    <w:rsid w:val="0064316D"/>
    <w:rsid w:val="0064478F"/>
    <w:rsid w:val="00644941"/>
    <w:rsid w:val="00644FFF"/>
    <w:rsid w:val="006502C1"/>
    <w:rsid w:val="00650E2B"/>
    <w:rsid w:val="00654A58"/>
    <w:rsid w:val="0065588D"/>
    <w:rsid w:val="00664403"/>
    <w:rsid w:val="0066445F"/>
    <w:rsid w:val="00664C48"/>
    <w:rsid w:val="0066520E"/>
    <w:rsid w:val="00665F34"/>
    <w:rsid w:val="00667BA8"/>
    <w:rsid w:val="00667D45"/>
    <w:rsid w:val="006703FE"/>
    <w:rsid w:val="00670674"/>
    <w:rsid w:val="0067182E"/>
    <w:rsid w:val="00671AF8"/>
    <w:rsid w:val="0067363B"/>
    <w:rsid w:val="006737F8"/>
    <w:rsid w:val="0067441C"/>
    <w:rsid w:val="0067799B"/>
    <w:rsid w:val="00677AC0"/>
    <w:rsid w:val="00681A19"/>
    <w:rsid w:val="00681C21"/>
    <w:rsid w:val="00682212"/>
    <w:rsid w:val="006844CA"/>
    <w:rsid w:val="00684C5B"/>
    <w:rsid w:val="006860C9"/>
    <w:rsid w:val="006865F1"/>
    <w:rsid w:val="0068680C"/>
    <w:rsid w:val="00690818"/>
    <w:rsid w:val="00691A67"/>
    <w:rsid w:val="006920D2"/>
    <w:rsid w:val="006928E1"/>
    <w:rsid w:val="00692D1B"/>
    <w:rsid w:val="00693235"/>
    <w:rsid w:val="006965C1"/>
    <w:rsid w:val="006A10E6"/>
    <w:rsid w:val="006A1D5D"/>
    <w:rsid w:val="006A2209"/>
    <w:rsid w:val="006B00D1"/>
    <w:rsid w:val="006B4AC8"/>
    <w:rsid w:val="006B6476"/>
    <w:rsid w:val="006B718C"/>
    <w:rsid w:val="006C07E2"/>
    <w:rsid w:val="006C0B06"/>
    <w:rsid w:val="006C1F5A"/>
    <w:rsid w:val="006C2EDD"/>
    <w:rsid w:val="006C300F"/>
    <w:rsid w:val="006C3CFB"/>
    <w:rsid w:val="006C3D12"/>
    <w:rsid w:val="006C4FCB"/>
    <w:rsid w:val="006D0AF7"/>
    <w:rsid w:val="006D1C9A"/>
    <w:rsid w:val="006D3709"/>
    <w:rsid w:val="006D4FC4"/>
    <w:rsid w:val="006E01EB"/>
    <w:rsid w:val="006E1BC4"/>
    <w:rsid w:val="006E5CE2"/>
    <w:rsid w:val="006E73FB"/>
    <w:rsid w:val="006E7BA3"/>
    <w:rsid w:val="006F0E71"/>
    <w:rsid w:val="006F2A49"/>
    <w:rsid w:val="006F3D14"/>
    <w:rsid w:val="006F525E"/>
    <w:rsid w:val="006F721F"/>
    <w:rsid w:val="006F7B27"/>
    <w:rsid w:val="0070046E"/>
    <w:rsid w:val="007012FC"/>
    <w:rsid w:val="0070209B"/>
    <w:rsid w:val="00702E7D"/>
    <w:rsid w:val="00703010"/>
    <w:rsid w:val="0070370C"/>
    <w:rsid w:val="00704265"/>
    <w:rsid w:val="00704266"/>
    <w:rsid w:val="007111C2"/>
    <w:rsid w:val="00715583"/>
    <w:rsid w:val="0071685C"/>
    <w:rsid w:val="0072047B"/>
    <w:rsid w:val="00721474"/>
    <w:rsid w:val="0072437D"/>
    <w:rsid w:val="00725D79"/>
    <w:rsid w:val="007266F9"/>
    <w:rsid w:val="00727AE1"/>
    <w:rsid w:val="007310A1"/>
    <w:rsid w:val="00731110"/>
    <w:rsid w:val="00734F56"/>
    <w:rsid w:val="007358EB"/>
    <w:rsid w:val="007370C2"/>
    <w:rsid w:val="007375B2"/>
    <w:rsid w:val="007408AA"/>
    <w:rsid w:val="00740BF5"/>
    <w:rsid w:val="007518AC"/>
    <w:rsid w:val="00754790"/>
    <w:rsid w:val="0075615C"/>
    <w:rsid w:val="007600DC"/>
    <w:rsid w:val="00760228"/>
    <w:rsid w:val="0076112F"/>
    <w:rsid w:val="00762E35"/>
    <w:rsid w:val="00765714"/>
    <w:rsid w:val="0076665B"/>
    <w:rsid w:val="00771971"/>
    <w:rsid w:val="007819A8"/>
    <w:rsid w:val="00783359"/>
    <w:rsid w:val="007833E2"/>
    <w:rsid w:val="00784532"/>
    <w:rsid w:val="00784D0E"/>
    <w:rsid w:val="00785811"/>
    <w:rsid w:val="007878BC"/>
    <w:rsid w:val="00791E7C"/>
    <w:rsid w:val="00791EA1"/>
    <w:rsid w:val="00792DE8"/>
    <w:rsid w:val="007931F4"/>
    <w:rsid w:val="00793C15"/>
    <w:rsid w:val="00796293"/>
    <w:rsid w:val="0079645E"/>
    <w:rsid w:val="0079668B"/>
    <w:rsid w:val="00796A4B"/>
    <w:rsid w:val="007A08F6"/>
    <w:rsid w:val="007A0B61"/>
    <w:rsid w:val="007A1A89"/>
    <w:rsid w:val="007A1BA5"/>
    <w:rsid w:val="007A2EF3"/>
    <w:rsid w:val="007A3704"/>
    <w:rsid w:val="007A7AB5"/>
    <w:rsid w:val="007B0C8D"/>
    <w:rsid w:val="007B15D4"/>
    <w:rsid w:val="007B4064"/>
    <w:rsid w:val="007B40D2"/>
    <w:rsid w:val="007B5E9A"/>
    <w:rsid w:val="007C0A63"/>
    <w:rsid w:val="007C0D7A"/>
    <w:rsid w:val="007C102A"/>
    <w:rsid w:val="007C382E"/>
    <w:rsid w:val="007C3BDA"/>
    <w:rsid w:val="007C3D18"/>
    <w:rsid w:val="007C3F7B"/>
    <w:rsid w:val="007C69ED"/>
    <w:rsid w:val="007C71F3"/>
    <w:rsid w:val="007D0502"/>
    <w:rsid w:val="007D17AF"/>
    <w:rsid w:val="007D28B3"/>
    <w:rsid w:val="007D2BCE"/>
    <w:rsid w:val="007D3A67"/>
    <w:rsid w:val="007D4C4D"/>
    <w:rsid w:val="007D69D6"/>
    <w:rsid w:val="007E0489"/>
    <w:rsid w:val="007E0599"/>
    <w:rsid w:val="007E1A4D"/>
    <w:rsid w:val="007E63D4"/>
    <w:rsid w:val="007F09A2"/>
    <w:rsid w:val="007F6C20"/>
    <w:rsid w:val="007F6C34"/>
    <w:rsid w:val="007F6F02"/>
    <w:rsid w:val="007F7B6E"/>
    <w:rsid w:val="008001C0"/>
    <w:rsid w:val="008004D2"/>
    <w:rsid w:val="008005E3"/>
    <w:rsid w:val="00800E7E"/>
    <w:rsid w:val="00802334"/>
    <w:rsid w:val="008030C4"/>
    <w:rsid w:val="0080336A"/>
    <w:rsid w:val="00803BFA"/>
    <w:rsid w:val="008040BE"/>
    <w:rsid w:val="008067D6"/>
    <w:rsid w:val="0081022A"/>
    <w:rsid w:val="00811019"/>
    <w:rsid w:val="00811627"/>
    <w:rsid w:val="00814EDE"/>
    <w:rsid w:val="00821392"/>
    <w:rsid w:val="00821EB4"/>
    <w:rsid w:val="008232A6"/>
    <w:rsid w:val="00824C10"/>
    <w:rsid w:val="00827290"/>
    <w:rsid w:val="00830B05"/>
    <w:rsid w:val="00834275"/>
    <w:rsid w:val="008345BE"/>
    <w:rsid w:val="0083501F"/>
    <w:rsid w:val="0083514E"/>
    <w:rsid w:val="00837B46"/>
    <w:rsid w:val="00840549"/>
    <w:rsid w:val="00847080"/>
    <w:rsid w:val="00855980"/>
    <w:rsid w:val="00861D98"/>
    <w:rsid w:val="00864CC5"/>
    <w:rsid w:val="00866817"/>
    <w:rsid w:val="00866D37"/>
    <w:rsid w:val="00876082"/>
    <w:rsid w:val="008824C6"/>
    <w:rsid w:val="008840D1"/>
    <w:rsid w:val="0088642A"/>
    <w:rsid w:val="00886F4B"/>
    <w:rsid w:val="0089074A"/>
    <w:rsid w:val="00891F0D"/>
    <w:rsid w:val="008921E0"/>
    <w:rsid w:val="00892580"/>
    <w:rsid w:val="00893D52"/>
    <w:rsid w:val="00895988"/>
    <w:rsid w:val="00897B0F"/>
    <w:rsid w:val="008A11F1"/>
    <w:rsid w:val="008A2D94"/>
    <w:rsid w:val="008A36DA"/>
    <w:rsid w:val="008A3CA4"/>
    <w:rsid w:val="008A4F65"/>
    <w:rsid w:val="008A5C0E"/>
    <w:rsid w:val="008B05B2"/>
    <w:rsid w:val="008B2DED"/>
    <w:rsid w:val="008B384E"/>
    <w:rsid w:val="008B7E4B"/>
    <w:rsid w:val="008C19CF"/>
    <w:rsid w:val="008C1A74"/>
    <w:rsid w:val="008C1EBC"/>
    <w:rsid w:val="008D28A4"/>
    <w:rsid w:val="008D2960"/>
    <w:rsid w:val="008D33B4"/>
    <w:rsid w:val="008D48B2"/>
    <w:rsid w:val="008E2993"/>
    <w:rsid w:val="008E2FC7"/>
    <w:rsid w:val="008E4881"/>
    <w:rsid w:val="008E6511"/>
    <w:rsid w:val="008E69D7"/>
    <w:rsid w:val="008F3F44"/>
    <w:rsid w:val="008F47D3"/>
    <w:rsid w:val="008F5823"/>
    <w:rsid w:val="008F651F"/>
    <w:rsid w:val="00901AEA"/>
    <w:rsid w:val="0090483D"/>
    <w:rsid w:val="009059B3"/>
    <w:rsid w:val="00910939"/>
    <w:rsid w:val="00914308"/>
    <w:rsid w:val="009170B1"/>
    <w:rsid w:val="00932B05"/>
    <w:rsid w:val="00932B71"/>
    <w:rsid w:val="00933349"/>
    <w:rsid w:val="0093472B"/>
    <w:rsid w:val="0093551E"/>
    <w:rsid w:val="0093561D"/>
    <w:rsid w:val="0093601E"/>
    <w:rsid w:val="0093608F"/>
    <w:rsid w:val="00937517"/>
    <w:rsid w:val="00940A3B"/>
    <w:rsid w:val="00941F19"/>
    <w:rsid w:val="00944DD0"/>
    <w:rsid w:val="00956867"/>
    <w:rsid w:val="0096328D"/>
    <w:rsid w:val="00963C2C"/>
    <w:rsid w:val="00967219"/>
    <w:rsid w:val="00972723"/>
    <w:rsid w:val="009734FD"/>
    <w:rsid w:val="00973A3A"/>
    <w:rsid w:val="00974C30"/>
    <w:rsid w:val="009765A9"/>
    <w:rsid w:val="00981627"/>
    <w:rsid w:val="009851F6"/>
    <w:rsid w:val="0098573C"/>
    <w:rsid w:val="00985958"/>
    <w:rsid w:val="00987FFE"/>
    <w:rsid w:val="00991890"/>
    <w:rsid w:val="009928C0"/>
    <w:rsid w:val="00992D93"/>
    <w:rsid w:val="009932A4"/>
    <w:rsid w:val="00996310"/>
    <w:rsid w:val="00996E05"/>
    <w:rsid w:val="00996E22"/>
    <w:rsid w:val="009978F9"/>
    <w:rsid w:val="009A3BF4"/>
    <w:rsid w:val="009A425F"/>
    <w:rsid w:val="009A5500"/>
    <w:rsid w:val="009A7202"/>
    <w:rsid w:val="009B2A36"/>
    <w:rsid w:val="009B2EED"/>
    <w:rsid w:val="009B35D9"/>
    <w:rsid w:val="009B3A2B"/>
    <w:rsid w:val="009B570E"/>
    <w:rsid w:val="009B62CD"/>
    <w:rsid w:val="009B7D3F"/>
    <w:rsid w:val="009C0362"/>
    <w:rsid w:val="009C0A40"/>
    <w:rsid w:val="009C4AA3"/>
    <w:rsid w:val="009C6212"/>
    <w:rsid w:val="009C74FC"/>
    <w:rsid w:val="009C7653"/>
    <w:rsid w:val="009D1693"/>
    <w:rsid w:val="009D2936"/>
    <w:rsid w:val="009D31EF"/>
    <w:rsid w:val="009D3FE1"/>
    <w:rsid w:val="009D4ADD"/>
    <w:rsid w:val="009D6F4B"/>
    <w:rsid w:val="009D72D1"/>
    <w:rsid w:val="009E0137"/>
    <w:rsid w:val="009E04C3"/>
    <w:rsid w:val="009E1253"/>
    <w:rsid w:val="009E3866"/>
    <w:rsid w:val="009E43B7"/>
    <w:rsid w:val="009E4C94"/>
    <w:rsid w:val="009E579A"/>
    <w:rsid w:val="009F0CAB"/>
    <w:rsid w:val="009F26CF"/>
    <w:rsid w:val="009F315D"/>
    <w:rsid w:val="009F5362"/>
    <w:rsid w:val="00A005D6"/>
    <w:rsid w:val="00A009B0"/>
    <w:rsid w:val="00A00D55"/>
    <w:rsid w:val="00A065E5"/>
    <w:rsid w:val="00A07655"/>
    <w:rsid w:val="00A10137"/>
    <w:rsid w:val="00A11E61"/>
    <w:rsid w:val="00A12051"/>
    <w:rsid w:val="00A12629"/>
    <w:rsid w:val="00A1356F"/>
    <w:rsid w:val="00A13625"/>
    <w:rsid w:val="00A14A50"/>
    <w:rsid w:val="00A14ED0"/>
    <w:rsid w:val="00A17CA6"/>
    <w:rsid w:val="00A204EE"/>
    <w:rsid w:val="00A2060F"/>
    <w:rsid w:val="00A2068E"/>
    <w:rsid w:val="00A21186"/>
    <w:rsid w:val="00A26165"/>
    <w:rsid w:val="00A3171C"/>
    <w:rsid w:val="00A32918"/>
    <w:rsid w:val="00A335A7"/>
    <w:rsid w:val="00A33B72"/>
    <w:rsid w:val="00A34B81"/>
    <w:rsid w:val="00A41313"/>
    <w:rsid w:val="00A416D9"/>
    <w:rsid w:val="00A42680"/>
    <w:rsid w:val="00A42BBC"/>
    <w:rsid w:val="00A4331E"/>
    <w:rsid w:val="00A43A05"/>
    <w:rsid w:val="00A457A9"/>
    <w:rsid w:val="00A468F9"/>
    <w:rsid w:val="00A475BE"/>
    <w:rsid w:val="00A47C36"/>
    <w:rsid w:val="00A52736"/>
    <w:rsid w:val="00A53B65"/>
    <w:rsid w:val="00A55B32"/>
    <w:rsid w:val="00A616A7"/>
    <w:rsid w:val="00A624BE"/>
    <w:rsid w:val="00A625D9"/>
    <w:rsid w:val="00A63F18"/>
    <w:rsid w:val="00A6759D"/>
    <w:rsid w:val="00A71449"/>
    <w:rsid w:val="00A72205"/>
    <w:rsid w:val="00A74F8D"/>
    <w:rsid w:val="00A74F9D"/>
    <w:rsid w:val="00A75260"/>
    <w:rsid w:val="00A75EB5"/>
    <w:rsid w:val="00A76857"/>
    <w:rsid w:val="00A77182"/>
    <w:rsid w:val="00A77280"/>
    <w:rsid w:val="00A821EC"/>
    <w:rsid w:val="00A82352"/>
    <w:rsid w:val="00A83A73"/>
    <w:rsid w:val="00A87322"/>
    <w:rsid w:val="00A92FB0"/>
    <w:rsid w:val="00A95782"/>
    <w:rsid w:val="00A96011"/>
    <w:rsid w:val="00A97579"/>
    <w:rsid w:val="00AA01BC"/>
    <w:rsid w:val="00AA0205"/>
    <w:rsid w:val="00AA0308"/>
    <w:rsid w:val="00AA04E9"/>
    <w:rsid w:val="00AA16A7"/>
    <w:rsid w:val="00AA4F04"/>
    <w:rsid w:val="00AA5E61"/>
    <w:rsid w:val="00AA6B9E"/>
    <w:rsid w:val="00AA6BE5"/>
    <w:rsid w:val="00AA7926"/>
    <w:rsid w:val="00AB2557"/>
    <w:rsid w:val="00AC5C26"/>
    <w:rsid w:val="00AC5E71"/>
    <w:rsid w:val="00AD058B"/>
    <w:rsid w:val="00AD1646"/>
    <w:rsid w:val="00AD284B"/>
    <w:rsid w:val="00AD30D8"/>
    <w:rsid w:val="00AD322C"/>
    <w:rsid w:val="00AD42CF"/>
    <w:rsid w:val="00AE01A4"/>
    <w:rsid w:val="00AE095E"/>
    <w:rsid w:val="00AE14A6"/>
    <w:rsid w:val="00AE1907"/>
    <w:rsid w:val="00AF02A9"/>
    <w:rsid w:val="00AF02F0"/>
    <w:rsid w:val="00AF05F6"/>
    <w:rsid w:val="00AF1159"/>
    <w:rsid w:val="00AF2EAC"/>
    <w:rsid w:val="00AF2EE0"/>
    <w:rsid w:val="00AF788E"/>
    <w:rsid w:val="00B00C25"/>
    <w:rsid w:val="00B01BD7"/>
    <w:rsid w:val="00B04D51"/>
    <w:rsid w:val="00B05EBD"/>
    <w:rsid w:val="00B06865"/>
    <w:rsid w:val="00B0702F"/>
    <w:rsid w:val="00B11B89"/>
    <w:rsid w:val="00B14277"/>
    <w:rsid w:val="00B14BB6"/>
    <w:rsid w:val="00B14C53"/>
    <w:rsid w:val="00B159C8"/>
    <w:rsid w:val="00B22341"/>
    <w:rsid w:val="00B224F0"/>
    <w:rsid w:val="00B23E3A"/>
    <w:rsid w:val="00B2429D"/>
    <w:rsid w:val="00B242C8"/>
    <w:rsid w:val="00B26876"/>
    <w:rsid w:val="00B3144C"/>
    <w:rsid w:val="00B31F43"/>
    <w:rsid w:val="00B33752"/>
    <w:rsid w:val="00B3510E"/>
    <w:rsid w:val="00B357D3"/>
    <w:rsid w:val="00B3602A"/>
    <w:rsid w:val="00B422EF"/>
    <w:rsid w:val="00B42F87"/>
    <w:rsid w:val="00B451D6"/>
    <w:rsid w:val="00B476DB"/>
    <w:rsid w:val="00B50C7A"/>
    <w:rsid w:val="00B50FA6"/>
    <w:rsid w:val="00B52785"/>
    <w:rsid w:val="00B54D4F"/>
    <w:rsid w:val="00B57A30"/>
    <w:rsid w:val="00B60C7C"/>
    <w:rsid w:val="00B60CB2"/>
    <w:rsid w:val="00B65E7E"/>
    <w:rsid w:val="00B65FB4"/>
    <w:rsid w:val="00B66ADF"/>
    <w:rsid w:val="00B66D46"/>
    <w:rsid w:val="00B67CD7"/>
    <w:rsid w:val="00B71523"/>
    <w:rsid w:val="00B76DCA"/>
    <w:rsid w:val="00B77689"/>
    <w:rsid w:val="00B80C4C"/>
    <w:rsid w:val="00B81FAA"/>
    <w:rsid w:val="00B82471"/>
    <w:rsid w:val="00B84613"/>
    <w:rsid w:val="00B84F25"/>
    <w:rsid w:val="00B84F8E"/>
    <w:rsid w:val="00B90811"/>
    <w:rsid w:val="00B90F04"/>
    <w:rsid w:val="00B9103B"/>
    <w:rsid w:val="00B92F18"/>
    <w:rsid w:val="00B93EB3"/>
    <w:rsid w:val="00B940FB"/>
    <w:rsid w:val="00B9670F"/>
    <w:rsid w:val="00BA3A36"/>
    <w:rsid w:val="00BA49B3"/>
    <w:rsid w:val="00BA4A87"/>
    <w:rsid w:val="00BA4ABD"/>
    <w:rsid w:val="00BA6549"/>
    <w:rsid w:val="00BB0963"/>
    <w:rsid w:val="00BB1597"/>
    <w:rsid w:val="00BB2BBF"/>
    <w:rsid w:val="00BB2CF0"/>
    <w:rsid w:val="00BB3C7B"/>
    <w:rsid w:val="00BB68ED"/>
    <w:rsid w:val="00BB73F6"/>
    <w:rsid w:val="00BC0C39"/>
    <w:rsid w:val="00BC2A63"/>
    <w:rsid w:val="00BC2B81"/>
    <w:rsid w:val="00BC6B9D"/>
    <w:rsid w:val="00BD03A0"/>
    <w:rsid w:val="00BD13DA"/>
    <w:rsid w:val="00BD297C"/>
    <w:rsid w:val="00BD42A0"/>
    <w:rsid w:val="00BD4F82"/>
    <w:rsid w:val="00BD5637"/>
    <w:rsid w:val="00BE043C"/>
    <w:rsid w:val="00BE16FD"/>
    <w:rsid w:val="00BE2AA2"/>
    <w:rsid w:val="00BF3187"/>
    <w:rsid w:val="00BF31A7"/>
    <w:rsid w:val="00BF4018"/>
    <w:rsid w:val="00BF4DCF"/>
    <w:rsid w:val="00BF5F73"/>
    <w:rsid w:val="00BF6310"/>
    <w:rsid w:val="00BF73CC"/>
    <w:rsid w:val="00C01A23"/>
    <w:rsid w:val="00C01D0D"/>
    <w:rsid w:val="00C066C2"/>
    <w:rsid w:val="00C072A0"/>
    <w:rsid w:val="00C07A24"/>
    <w:rsid w:val="00C12A93"/>
    <w:rsid w:val="00C12D95"/>
    <w:rsid w:val="00C13285"/>
    <w:rsid w:val="00C1328C"/>
    <w:rsid w:val="00C1383A"/>
    <w:rsid w:val="00C13902"/>
    <w:rsid w:val="00C17BD8"/>
    <w:rsid w:val="00C203C8"/>
    <w:rsid w:val="00C20FE3"/>
    <w:rsid w:val="00C21F2C"/>
    <w:rsid w:val="00C2206A"/>
    <w:rsid w:val="00C22FB7"/>
    <w:rsid w:val="00C24A79"/>
    <w:rsid w:val="00C26492"/>
    <w:rsid w:val="00C27FA3"/>
    <w:rsid w:val="00C34C07"/>
    <w:rsid w:val="00C35ACC"/>
    <w:rsid w:val="00C36B0A"/>
    <w:rsid w:val="00C37BBD"/>
    <w:rsid w:val="00C40016"/>
    <w:rsid w:val="00C40D89"/>
    <w:rsid w:val="00C436DB"/>
    <w:rsid w:val="00C575CA"/>
    <w:rsid w:val="00C57CA5"/>
    <w:rsid w:val="00C57EDC"/>
    <w:rsid w:val="00C61817"/>
    <w:rsid w:val="00C638EC"/>
    <w:rsid w:val="00C65490"/>
    <w:rsid w:val="00C659CA"/>
    <w:rsid w:val="00C65CE8"/>
    <w:rsid w:val="00C7115B"/>
    <w:rsid w:val="00C71458"/>
    <w:rsid w:val="00C7182C"/>
    <w:rsid w:val="00C726AB"/>
    <w:rsid w:val="00C74086"/>
    <w:rsid w:val="00C74520"/>
    <w:rsid w:val="00C75613"/>
    <w:rsid w:val="00C7738C"/>
    <w:rsid w:val="00C80BDC"/>
    <w:rsid w:val="00C812DC"/>
    <w:rsid w:val="00C81785"/>
    <w:rsid w:val="00C81F66"/>
    <w:rsid w:val="00C82510"/>
    <w:rsid w:val="00C86C77"/>
    <w:rsid w:val="00C87F72"/>
    <w:rsid w:val="00C902C4"/>
    <w:rsid w:val="00C91780"/>
    <w:rsid w:val="00C940E7"/>
    <w:rsid w:val="00C9508B"/>
    <w:rsid w:val="00C95A38"/>
    <w:rsid w:val="00C967B2"/>
    <w:rsid w:val="00CA1931"/>
    <w:rsid w:val="00CA299E"/>
    <w:rsid w:val="00CA58C3"/>
    <w:rsid w:val="00CA5E8C"/>
    <w:rsid w:val="00CB0880"/>
    <w:rsid w:val="00CB0F59"/>
    <w:rsid w:val="00CB2A19"/>
    <w:rsid w:val="00CB40E2"/>
    <w:rsid w:val="00CB5536"/>
    <w:rsid w:val="00CB5CFD"/>
    <w:rsid w:val="00CB63B3"/>
    <w:rsid w:val="00CB6AE6"/>
    <w:rsid w:val="00CB6DC7"/>
    <w:rsid w:val="00CC0FE8"/>
    <w:rsid w:val="00CC2C6D"/>
    <w:rsid w:val="00CC3F6B"/>
    <w:rsid w:val="00CC5214"/>
    <w:rsid w:val="00CC756B"/>
    <w:rsid w:val="00CD1845"/>
    <w:rsid w:val="00CD26E0"/>
    <w:rsid w:val="00CD31BF"/>
    <w:rsid w:val="00CD5784"/>
    <w:rsid w:val="00CD7092"/>
    <w:rsid w:val="00CD7C50"/>
    <w:rsid w:val="00CD7C77"/>
    <w:rsid w:val="00CE197D"/>
    <w:rsid w:val="00CE2277"/>
    <w:rsid w:val="00CE324A"/>
    <w:rsid w:val="00CE5A8D"/>
    <w:rsid w:val="00CE7648"/>
    <w:rsid w:val="00CE7F12"/>
    <w:rsid w:val="00CF116D"/>
    <w:rsid w:val="00CF1AEF"/>
    <w:rsid w:val="00CF1CC7"/>
    <w:rsid w:val="00CF2F20"/>
    <w:rsid w:val="00CF4720"/>
    <w:rsid w:val="00CF570F"/>
    <w:rsid w:val="00CF75CA"/>
    <w:rsid w:val="00D0272A"/>
    <w:rsid w:val="00D0569F"/>
    <w:rsid w:val="00D13DF9"/>
    <w:rsid w:val="00D16CFE"/>
    <w:rsid w:val="00D2121C"/>
    <w:rsid w:val="00D26FC8"/>
    <w:rsid w:val="00D30E93"/>
    <w:rsid w:val="00D31F48"/>
    <w:rsid w:val="00D3247F"/>
    <w:rsid w:val="00D33475"/>
    <w:rsid w:val="00D344C5"/>
    <w:rsid w:val="00D3703F"/>
    <w:rsid w:val="00D42005"/>
    <w:rsid w:val="00D4343A"/>
    <w:rsid w:val="00D44EAA"/>
    <w:rsid w:val="00D450A8"/>
    <w:rsid w:val="00D46EE7"/>
    <w:rsid w:val="00D47705"/>
    <w:rsid w:val="00D47EC3"/>
    <w:rsid w:val="00D507A0"/>
    <w:rsid w:val="00D52C87"/>
    <w:rsid w:val="00D60E9E"/>
    <w:rsid w:val="00D62250"/>
    <w:rsid w:val="00D62AAA"/>
    <w:rsid w:val="00D64BB0"/>
    <w:rsid w:val="00D64C6E"/>
    <w:rsid w:val="00D6528E"/>
    <w:rsid w:val="00D74F2D"/>
    <w:rsid w:val="00D750DC"/>
    <w:rsid w:val="00D755A4"/>
    <w:rsid w:val="00D765FC"/>
    <w:rsid w:val="00D80D62"/>
    <w:rsid w:val="00D80D6E"/>
    <w:rsid w:val="00D81990"/>
    <w:rsid w:val="00D81F24"/>
    <w:rsid w:val="00D82E2D"/>
    <w:rsid w:val="00D87438"/>
    <w:rsid w:val="00D90E03"/>
    <w:rsid w:val="00D937F2"/>
    <w:rsid w:val="00D93BCB"/>
    <w:rsid w:val="00D94AF1"/>
    <w:rsid w:val="00D965AA"/>
    <w:rsid w:val="00DA26F8"/>
    <w:rsid w:val="00DA2AF8"/>
    <w:rsid w:val="00DA3113"/>
    <w:rsid w:val="00DA3FF5"/>
    <w:rsid w:val="00DA5569"/>
    <w:rsid w:val="00DA66E2"/>
    <w:rsid w:val="00DA786F"/>
    <w:rsid w:val="00DB0FF4"/>
    <w:rsid w:val="00DB14B9"/>
    <w:rsid w:val="00DB40D7"/>
    <w:rsid w:val="00DC2B04"/>
    <w:rsid w:val="00DC3385"/>
    <w:rsid w:val="00DC3B8E"/>
    <w:rsid w:val="00DC4047"/>
    <w:rsid w:val="00DC4BE8"/>
    <w:rsid w:val="00DD16F4"/>
    <w:rsid w:val="00DD1F9C"/>
    <w:rsid w:val="00DD2CD7"/>
    <w:rsid w:val="00DD3CED"/>
    <w:rsid w:val="00DD401C"/>
    <w:rsid w:val="00DD42B2"/>
    <w:rsid w:val="00DD57D8"/>
    <w:rsid w:val="00DD7550"/>
    <w:rsid w:val="00DE23CE"/>
    <w:rsid w:val="00DE3583"/>
    <w:rsid w:val="00DE3E89"/>
    <w:rsid w:val="00DE46CC"/>
    <w:rsid w:val="00DE69EE"/>
    <w:rsid w:val="00DF06F6"/>
    <w:rsid w:val="00DF3518"/>
    <w:rsid w:val="00DF4C53"/>
    <w:rsid w:val="00DF50F2"/>
    <w:rsid w:val="00DF5A58"/>
    <w:rsid w:val="00E00D69"/>
    <w:rsid w:val="00E03B4F"/>
    <w:rsid w:val="00E06062"/>
    <w:rsid w:val="00E07C31"/>
    <w:rsid w:val="00E1090D"/>
    <w:rsid w:val="00E12F9F"/>
    <w:rsid w:val="00E13941"/>
    <w:rsid w:val="00E1419D"/>
    <w:rsid w:val="00E14420"/>
    <w:rsid w:val="00E16582"/>
    <w:rsid w:val="00E237F2"/>
    <w:rsid w:val="00E250B7"/>
    <w:rsid w:val="00E27AC8"/>
    <w:rsid w:val="00E27D02"/>
    <w:rsid w:val="00E30185"/>
    <w:rsid w:val="00E36553"/>
    <w:rsid w:val="00E408E9"/>
    <w:rsid w:val="00E42077"/>
    <w:rsid w:val="00E426D1"/>
    <w:rsid w:val="00E44934"/>
    <w:rsid w:val="00E459AB"/>
    <w:rsid w:val="00E46608"/>
    <w:rsid w:val="00E47CF0"/>
    <w:rsid w:val="00E52272"/>
    <w:rsid w:val="00E5272E"/>
    <w:rsid w:val="00E527BE"/>
    <w:rsid w:val="00E56919"/>
    <w:rsid w:val="00E57486"/>
    <w:rsid w:val="00E618F1"/>
    <w:rsid w:val="00E661DB"/>
    <w:rsid w:val="00E66BC3"/>
    <w:rsid w:val="00E66DDF"/>
    <w:rsid w:val="00E70F72"/>
    <w:rsid w:val="00E72606"/>
    <w:rsid w:val="00E73186"/>
    <w:rsid w:val="00E743BB"/>
    <w:rsid w:val="00E80DDB"/>
    <w:rsid w:val="00E81D9B"/>
    <w:rsid w:val="00E8503F"/>
    <w:rsid w:val="00E913EB"/>
    <w:rsid w:val="00E9186B"/>
    <w:rsid w:val="00E92AB4"/>
    <w:rsid w:val="00E93496"/>
    <w:rsid w:val="00E95B5A"/>
    <w:rsid w:val="00E9685A"/>
    <w:rsid w:val="00E97733"/>
    <w:rsid w:val="00EA0169"/>
    <w:rsid w:val="00EA1BDA"/>
    <w:rsid w:val="00EA340A"/>
    <w:rsid w:val="00EA4C2D"/>
    <w:rsid w:val="00EA5866"/>
    <w:rsid w:val="00EA6280"/>
    <w:rsid w:val="00EA72AA"/>
    <w:rsid w:val="00EB06B5"/>
    <w:rsid w:val="00EB12DD"/>
    <w:rsid w:val="00EB1F1C"/>
    <w:rsid w:val="00EB31C5"/>
    <w:rsid w:val="00EB4BE7"/>
    <w:rsid w:val="00EB631F"/>
    <w:rsid w:val="00EC074E"/>
    <w:rsid w:val="00EC1921"/>
    <w:rsid w:val="00EC298E"/>
    <w:rsid w:val="00EC7EDA"/>
    <w:rsid w:val="00ED0500"/>
    <w:rsid w:val="00ED1400"/>
    <w:rsid w:val="00ED45E6"/>
    <w:rsid w:val="00ED5A87"/>
    <w:rsid w:val="00ED6F96"/>
    <w:rsid w:val="00ED71A6"/>
    <w:rsid w:val="00ED792F"/>
    <w:rsid w:val="00EE0EA2"/>
    <w:rsid w:val="00EE1268"/>
    <w:rsid w:val="00EE3368"/>
    <w:rsid w:val="00EE5E36"/>
    <w:rsid w:val="00EE7692"/>
    <w:rsid w:val="00EE7AAF"/>
    <w:rsid w:val="00EF0A74"/>
    <w:rsid w:val="00EF0FA8"/>
    <w:rsid w:val="00EF1863"/>
    <w:rsid w:val="00EF4DA2"/>
    <w:rsid w:val="00EF63D1"/>
    <w:rsid w:val="00EF6752"/>
    <w:rsid w:val="00F0082F"/>
    <w:rsid w:val="00F02CD3"/>
    <w:rsid w:val="00F07FC1"/>
    <w:rsid w:val="00F11F01"/>
    <w:rsid w:val="00F144B2"/>
    <w:rsid w:val="00F15142"/>
    <w:rsid w:val="00F160A8"/>
    <w:rsid w:val="00F1732B"/>
    <w:rsid w:val="00F227DC"/>
    <w:rsid w:val="00F22CD5"/>
    <w:rsid w:val="00F23D12"/>
    <w:rsid w:val="00F3163D"/>
    <w:rsid w:val="00F3188F"/>
    <w:rsid w:val="00F32A79"/>
    <w:rsid w:val="00F34D47"/>
    <w:rsid w:val="00F3502D"/>
    <w:rsid w:val="00F40924"/>
    <w:rsid w:val="00F444E5"/>
    <w:rsid w:val="00F506AE"/>
    <w:rsid w:val="00F516D5"/>
    <w:rsid w:val="00F53114"/>
    <w:rsid w:val="00F53138"/>
    <w:rsid w:val="00F57240"/>
    <w:rsid w:val="00F57E54"/>
    <w:rsid w:val="00F602AF"/>
    <w:rsid w:val="00F64C17"/>
    <w:rsid w:val="00F66815"/>
    <w:rsid w:val="00F6772B"/>
    <w:rsid w:val="00F67BBF"/>
    <w:rsid w:val="00F70C2C"/>
    <w:rsid w:val="00F72CB8"/>
    <w:rsid w:val="00F735B6"/>
    <w:rsid w:val="00F73D19"/>
    <w:rsid w:val="00F73DD8"/>
    <w:rsid w:val="00F77AC8"/>
    <w:rsid w:val="00F80332"/>
    <w:rsid w:val="00F82003"/>
    <w:rsid w:val="00F82989"/>
    <w:rsid w:val="00F82A01"/>
    <w:rsid w:val="00F84604"/>
    <w:rsid w:val="00F867DF"/>
    <w:rsid w:val="00F90488"/>
    <w:rsid w:val="00F92041"/>
    <w:rsid w:val="00F92E04"/>
    <w:rsid w:val="00F9405D"/>
    <w:rsid w:val="00F9485C"/>
    <w:rsid w:val="00F94B54"/>
    <w:rsid w:val="00F95548"/>
    <w:rsid w:val="00F9682B"/>
    <w:rsid w:val="00FA2EFB"/>
    <w:rsid w:val="00FA47D9"/>
    <w:rsid w:val="00FA6E68"/>
    <w:rsid w:val="00FB7BD6"/>
    <w:rsid w:val="00FC08C9"/>
    <w:rsid w:val="00FC3F34"/>
    <w:rsid w:val="00FC5692"/>
    <w:rsid w:val="00FD32BF"/>
    <w:rsid w:val="00FD46EF"/>
    <w:rsid w:val="00FD6192"/>
    <w:rsid w:val="00FD6530"/>
    <w:rsid w:val="00FE08C8"/>
    <w:rsid w:val="00FE335C"/>
    <w:rsid w:val="00FE4150"/>
    <w:rsid w:val="00FE5E9B"/>
    <w:rsid w:val="00FE6321"/>
    <w:rsid w:val="00FE6522"/>
    <w:rsid w:val="00FE7A52"/>
    <w:rsid w:val="00FE7B13"/>
    <w:rsid w:val="00FF0478"/>
    <w:rsid w:val="00FF0A53"/>
    <w:rsid w:val="00FF1D52"/>
    <w:rsid w:val="00FF209A"/>
    <w:rsid w:val="00FF4734"/>
    <w:rsid w:val="00FF5B59"/>
    <w:rsid w:val="00FF7300"/>
    <w:rsid w:val="00FF78AC"/>
    <w:rsid w:val="00FF7AFC"/>
    <w:rsid w:val="16A12876"/>
    <w:rsid w:val="2C8D1ED7"/>
    <w:rsid w:val="321A743A"/>
    <w:rsid w:val="36EA0DA0"/>
    <w:rsid w:val="4CF314D1"/>
    <w:rsid w:val="60F32A40"/>
    <w:rsid w:val="61DA7C5E"/>
    <w:rsid w:val="67C237B1"/>
    <w:rsid w:val="70002A5E"/>
    <w:rsid w:val="7F9E0E2B"/>
    <w:rsid w:val="7FA770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4"/>
    <w:qFormat/>
    <w:uiPriority w:val="9"/>
    <w:pPr>
      <w:keepNext/>
      <w:keepLines/>
      <w:spacing w:before="340" w:after="330" w:line="578" w:lineRule="auto"/>
      <w:jc w:val="center"/>
      <w:outlineLvl w:val="0"/>
    </w:pPr>
    <w:rPr>
      <w:b/>
      <w:bCs/>
      <w:kern w:val="44"/>
      <w:sz w:val="44"/>
      <w:szCs w:val="44"/>
    </w:rPr>
  </w:style>
  <w:style w:type="paragraph" w:styleId="3">
    <w:name w:val="heading 2"/>
    <w:basedOn w:val="1"/>
    <w:next w:val="1"/>
    <w:link w:val="26"/>
    <w:unhideWhenUsed/>
    <w:qFormat/>
    <w:uiPriority w:val="9"/>
    <w:pPr>
      <w:keepNext/>
      <w:keepLines/>
      <w:spacing w:before="260" w:after="260" w:line="416" w:lineRule="auto"/>
      <w:outlineLvl w:val="1"/>
    </w:pPr>
    <w:rPr>
      <w:rFonts w:asciiTheme="majorHAnsi" w:hAnsiTheme="majorHAnsi" w:eastAsiaTheme="majorEastAsia" w:cstheme="majorBidi"/>
      <w:b/>
      <w:bCs/>
      <w:sz w:val="28"/>
      <w:szCs w:val="32"/>
    </w:rPr>
  </w:style>
  <w:style w:type="paragraph" w:styleId="4">
    <w:name w:val="heading 3"/>
    <w:basedOn w:val="1"/>
    <w:next w:val="1"/>
    <w:link w:val="27"/>
    <w:unhideWhenUsed/>
    <w:qFormat/>
    <w:uiPriority w:val="9"/>
    <w:pPr>
      <w:keepNext/>
      <w:keepLines/>
      <w:spacing w:before="100" w:after="100"/>
      <w:outlineLvl w:val="2"/>
    </w:pPr>
    <w:rPr>
      <w:b/>
      <w:bCs/>
      <w:sz w:val="28"/>
      <w:szCs w:val="32"/>
    </w:rPr>
  </w:style>
  <w:style w:type="character" w:default="1" w:styleId="15">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21"/>
    <w:semiHidden/>
    <w:unhideWhenUsed/>
    <w:uiPriority w:val="99"/>
    <w:pPr>
      <w:jc w:val="left"/>
    </w:pPr>
  </w:style>
  <w:style w:type="paragraph" w:styleId="6">
    <w:name w:val="toc 3"/>
    <w:basedOn w:val="1"/>
    <w:next w:val="1"/>
    <w:autoRedefine/>
    <w:unhideWhenUsed/>
    <w:uiPriority w:val="39"/>
    <w:pPr>
      <w:widowControl/>
      <w:spacing w:after="100" w:line="259" w:lineRule="auto"/>
      <w:ind w:left="440"/>
      <w:jc w:val="left"/>
    </w:pPr>
    <w:rPr>
      <w:rFonts w:cs="Times New Roman"/>
      <w:kern w:val="0"/>
      <w:sz w:val="22"/>
    </w:rPr>
  </w:style>
  <w:style w:type="paragraph" w:styleId="7">
    <w:name w:val="Balloon Text"/>
    <w:basedOn w:val="1"/>
    <w:link w:val="23"/>
    <w:semiHidden/>
    <w:unhideWhenUsed/>
    <w:uiPriority w:val="99"/>
    <w:rPr>
      <w:sz w:val="18"/>
      <w:szCs w:val="18"/>
    </w:rPr>
  </w:style>
  <w:style w:type="paragraph" w:styleId="8">
    <w:name w:val="footer"/>
    <w:basedOn w:val="1"/>
    <w:link w:val="20"/>
    <w:unhideWhenUsed/>
    <w:qFormat/>
    <w:uiPriority w:val="99"/>
    <w:pPr>
      <w:tabs>
        <w:tab w:val="center" w:pos="4153"/>
        <w:tab w:val="right" w:pos="8306"/>
      </w:tabs>
      <w:snapToGrid w:val="0"/>
      <w:jc w:val="left"/>
    </w:pPr>
    <w:rPr>
      <w:sz w:val="18"/>
      <w:szCs w:val="18"/>
    </w:rPr>
  </w:style>
  <w:style w:type="paragraph" w:styleId="9">
    <w:name w:val="header"/>
    <w:basedOn w:val="1"/>
    <w:link w:val="19"/>
    <w:unhideWhenUsed/>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autoRedefine/>
    <w:unhideWhenUsed/>
    <w:qFormat/>
    <w:uiPriority w:val="39"/>
  </w:style>
  <w:style w:type="paragraph" w:styleId="11">
    <w:name w:val="toc 2"/>
    <w:basedOn w:val="1"/>
    <w:next w:val="1"/>
    <w:autoRedefine/>
    <w:unhideWhenUsed/>
    <w:qFormat/>
    <w:uiPriority w:val="39"/>
    <w:pPr>
      <w:ind w:left="420" w:leftChars="200"/>
    </w:pPr>
  </w:style>
  <w:style w:type="paragraph" w:styleId="12">
    <w:name w:val="annotation subject"/>
    <w:basedOn w:val="5"/>
    <w:next w:val="5"/>
    <w:link w:val="22"/>
    <w:semiHidden/>
    <w:unhideWhenUsed/>
    <w:uiPriority w:val="99"/>
    <w:rPr>
      <w:b/>
      <w:bCs/>
    </w:rPr>
  </w:style>
  <w:style w:type="table" w:styleId="14">
    <w:name w:val="Table Grid"/>
    <w:basedOn w:val="13"/>
    <w:unhideWhenUsed/>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FollowedHyperlink"/>
    <w:basedOn w:val="15"/>
    <w:semiHidden/>
    <w:unhideWhenUsed/>
    <w:uiPriority w:val="99"/>
    <w:rPr>
      <w:color w:val="800080" w:themeColor="followedHyperlink"/>
      <w:u w:val="single"/>
    </w:rPr>
  </w:style>
  <w:style w:type="character" w:styleId="17">
    <w:name w:val="Hyperlink"/>
    <w:basedOn w:val="15"/>
    <w:unhideWhenUsed/>
    <w:uiPriority w:val="99"/>
    <w:rPr>
      <w:color w:val="0000FF" w:themeColor="hyperlink"/>
      <w:u w:val="single"/>
    </w:rPr>
  </w:style>
  <w:style w:type="character" w:styleId="18">
    <w:name w:val="annotation reference"/>
    <w:basedOn w:val="15"/>
    <w:semiHidden/>
    <w:unhideWhenUsed/>
    <w:uiPriority w:val="99"/>
    <w:rPr>
      <w:sz w:val="21"/>
      <w:szCs w:val="21"/>
    </w:rPr>
  </w:style>
  <w:style w:type="character" w:customStyle="1" w:styleId="19">
    <w:name w:val="页眉 Char"/>
    <w:basedOn w:val="15"/>
    <w:link w:val="9"/>
    <w:qFormat/>
    <w:uiPriority w:val="99"/>
    <w:rPr>
      <w:sz w:val="18"/>
      <w:szCs w:val="18"/>
    </w:rPr>
  </w:style>
  <w:style w:type="character" w:customStyle="1" w:styleId="20">
    <w:name w:val="页脚 Char"/>
    <w:basedOn w:val="15"/>
    <w:link w:val="8"/>
    <w:qFormat/>
    <w:uiPriority w:val="99"/>
    <w:rPr>
      <w:sz w:val="18"/>
      <w:szCs w:val="18"/>
    </w:rPr>
  </w:style>
  <w:style w:type="character" w:customStyle="1" w:styleId="21">
    <w:name w:val="批注文字 Char"/>
    <w:basedOn w:val="15"/>
    <w:link w:val="5"/>
    <w:semiHidden/>
    <w:uiPriority w:val="99"/>
    <w:rPr>
      <w:kern w:val="2"/>
      <w:sz w:val="21"/>
      <w:szCs w:val="22"/>
    </w:rPr>
  </w:style>
  <w:style w:type="character" w:customStyle="1" w:styleId="22">
    <w:name w:val="批注主题 Char"/>
    <w:basedOn w:val="21"/>
    <w:link w:val="12"/>
    <w:semiHidden/>
    <w:uiPriority w:val="99"/>
    <w:rPr>
      <w:b/>
      <w:bCs/>
      <w:kern w:val="2"/>
      <w:sz w:val="21"/>
      <w:szCs w:val="22"/>
    </w:rPr>
  </w:style>
  <w:style w:type="character" w:customStyle="1" w:styleId="23">
    <w:name w:val="批注框文本 Char"/>
    <w:basedOn w:val="15"/>
    <w:link w:val="7"/>
    <w:semiHidden/>
    <w:uiPriority w:val="99"/>
    <w:rPr>
      <w:kern w:val="2"/>
      <w:sz w:val="18"/>
      <w:szCs w:val="18"/>
    </w:rPr>
  </w:style>
  <w:style w:type="character" w:customStyle="1" w:styleId="24">
    <w:name w:val="标题 1 Char"/>
    <w:basedOn w:val="15"/>
    <w:link w:val="2"/>
    <w:uiPriority w:val="9"/>
    <w:rPr>
      <w:b/>
      <w:bCs/>
      <w:kern w:val="44"/>
      <w:sz w:val="44"/>
      <w:szCs w:val="44"/>
    </w:rPr>
  </w:style>
  <w:style w:type="paragraph" w:customStyle="1" w:styleId="25">
    <w:name w:val="TOC Heading"/>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26">
    <w:name w:val="标题 2 Char"/>
    <w:basedOn w:val="15"/>
    <w:link w:val="3"/>
    <w:uiPriority w:val="9"/>
    <w:rPr>
      <w:rFonts w:asciiTheme="majorHAnsi" w:hAnsiTheme="majorHAnsi" w:eastAsiaTheme="majorEastAsia" w:cstheme="majorBidi"/>
      <w:b/>
      <w:bCs/>
      <w:kern w:val="2"/>
      <w:sz w:val="28"/>
      <w:szCs w:val="32"/>
    </w:rPr>
  </w:style>
  <w:style w:type="character" w:customStyle="1" w:styleId="27">
    <w:name w:val="标题 3 Char"/>
    <w:basedOn w:val="15"/>
    <w:link w:val="4"/>
    <w:uiPriority w:val="9"/>
    <w:rPr>
      <w:b/>
      <w:bCs/>
      <w:kern w:val="2"/>
      <w:sz w:val="28"/>
      <w:szCs w:val="32"/>
    </w:rPr>
  </w:style>
  <w:style w:type="paragraph" w:styleId="28">
    <w:name w:val="List Paragraph"/>
    <w:basedOn w:val="1"/>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21DF39-19A1-42D9-A981-451210DCBD75}">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4276</Words>
  <Characters>4816</Characters>
  <Lines>43</Lines>
  <Paragraphs>12</Paragraphs>
  <TotalTime>1942</TotalTime>
  <ScaleCrop>false</ScaleCrop>
  <LinksUpToDate>false</LinksUpToDate>
  <CharactersWithSpaces>4921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2018-12-14T09:46:00Z</dcterms:created>
  <dc:creator>微软用户</dc:creator>
  <cp:lastModifiedBy> </cp:lastModifiedBy>
  <cp:lastPrinted>2019-03-02T10:46:00Z</cp:lastPrinted>
  <dcterms:modified xsi:type="dcterms:W3CDTF">2024-09-21T01:39:07Z</dcterms:modified>
  <cp:revision>1179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EAE9A12AB6394876B89CEB7323FC964F_12</vt:lpwstr>
  </property>
</Properties>
</file>