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color w:val="000000" w:themeColor="text1"/>
          <w:sz w:val="44"/>
          <w:szCs w:val="44"/>
          <w14:textFill>
            <w14:solidFill>
              <w14:schemeClr w14:val="tx1"/>
            </w14:solidFill>
          </w14:textFill>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石家庄市藁城区科学技术协会</w:t>
      </w:r>
    </w:p>
    <w:p>
      <w:pPr>
        <w:adjustRightInd w:val="0"/>
        <w:snapToGrid w:val="0"/>
        <w:jc w:val="center"/>
        <w:rPr>
          <w:rFonts w:ascii="方正小标宋_GBK" w:hAnsi="Times New Roman" w:eastAsia="方正小标宋_GBK" w:cs="Times New Roman"/>
          <w:bCs/>
          <w:color w:val="000000" w:themeColor="text1"/>
          <w:sz w:val="44"/>
          <w:szCs w:val="44"/>
          <w14:textFill>
            <w14:solidFill>
              <w14:schemeClr w14:val="tx1"/>
            </w14:solidFill>
          </w14:textFill>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2020年部门预算信息公开情况说明</w:t>
      </w:r>
    </w:p>
    <w:p>
      <w:pPr>
        <w:ind w:firstLine="640"/>
        <w:rPr>
          <w:rFonts w:ascii="Times New Roman" w:hAnsi="Times New Roman" w:eastAsia="仿宋" w:cs="Times New Roman"/>
          <w:color w:val="000000" w:themeColor="text1"/>
          <w:sz w:val="32"/>
          <w:szCs w:val="32"/>
          <w14:textFill>
            <w14:solidFill>
              <w14:schemeClr w14:val="tx1"/>
            </w14:solidFill>
          </w14:textFill>
        </w:rPr>
      </w:pP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按照《预算法》、《地方预决算公开操作规程》和《河北省省级预算公开办法》规定，现将石家庄市藁城区科学技术协会2020年部门预算公开如下：</w:t>
      </w:r>
    </w:p>
    <w:p>
      <w:pPr>
        <w:numPr>
          <w:ilvl w:val="0"/>
          <w:numId w:val="1"/>
        </w:numPr>
        <w:ind w:firstLine="640"/>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部门职责及机构设置情况</w:t>
      </w:r>
    </w:p>
    <w:p>
      <w:pPr>
        <w:ind w:firstLine="643"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仿宋" w:hAnsi="仿宋" w:eastAsia="仿宋" w:cs="Times New Roman"/>
          <w:b/>
          <w:color w:val="000000" w:themeColor="text1"/>
          <w:sz w:val="32"/>
          <w:szCs w:val="32"/>
          <w14:textFill>
            <w14:solidFill>
              <w14:schemeClr w14:val="tx1"/>
            </w14:solidFill>
          </w14:textFill>
        </w:rPr>
        <w:t>部门</w:t>
      </w:r>
      <w:r>
        <w:rPr>
          <w:rFonts w:ascii="仿宋" w:hAnsi="仿宋" w:eastAsia="仿宋" w:cs="Times New Roman"/>
          <w:b/>
          <w:color w:val="000000" w:themeColor="text1"/>
          <w:sz w:val="32"/>
          <w:szCs w:val="32"/>
          <w14:textFill>
            <w14:solidFill>
              <w14:schemeClr w14:val="tx1"/>
            </w14:solidFill>
          </w14:textFill>
        </w:rPr>
        <w:t>职责：</w:t>
      </w:r>
    </w:p>
    <w:p>
      <w:pPr>
        <w:numPr>
          <w:ilvl w:val="0"/>
          <w:numId w:val="2"/>
        </w:num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科学技术普及；实施《全民科学素质行动计划纲要》，改善科普设施，提升科普能力，开展多种形式的科普活动。依据《全民科学素质行动计划纲要》和《科普法》并结合社会实际需要，开展科普活动，加强科普设施建设，提升科普能力。</w:t>
      </w:r>
    </w:p>
    <w:p>
      <w:pPr>
        <w:ind w:firstLine="640"/>
        <w:rPr>
          <w:rFonts w:ascii="仿宋" w:hAnsi="仿宋"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综合业务管理，负责系统综合业务管理和机关综合管理。为科技工作者服务的能力更强，把科协建成科技工作者之家；加强科协机关自身建设，提高机关服务能力，组织协调规划和指导全区科协系统的普及工作；指导各乡（镇、区、街道）科普协会和农村专业技术协会的工作；组织全市性的科技普及活动；组织、协调全是学术研讨、技术交流活动；负责市级学会的组织管理和日常联络工作；</w:t>
      </w:r>
    </w:p>
    <w:p>
      <w:pPr>
        <w:ind w:firstLine="643" w:firstLineChars="200"/>
        <w:rPr>
          <w:rFonts w:ascii="仿宋" w:hAnsi="仿宋" w:eastAsia="仿宋" w:cs="Times New Roman"/>
          <w:b/>
          <w:color w:val="000000" w:themeColor="text1"/>
          <w:sz w:val="32"/>
          <w:szCs w:val="32"/>
          <w14:textFill>
            <w14:solidFill>
              <w14:schemeClr w14:val="tx1"/>
            </w14:solidFill>
          </w14:textFill>
        </w:rPr>
      </w:pPr>
      <w:r>
        <w:rPr>
          <w:rFonts w:hint="eastAsia" w:ascii="仿宋" w:hAnsi="仿宋" w:eastAsia="仿宋" w:cs="Times New Roman"/>
          <w:b/>
          <w:color w:val="000000" w:themeColor="text1"/>
          <w:sz w:val="32"/>
          <w:szCs w:val="32"/>
          <w14:textFill>
            <w14:solidFill>
              <w14:schemeClr w14:val="tx1"/>
            </w14:solidFill>
          </w14:textFill>
        </w:rPr>
        <w:t>机构设置：</w:t>
      </w:r>
    </w:p>
    <w:p>
      <w:pPr>
        <w:jc w:val="center"/>
        <w:outlineLvl w:val="0"/>
        <w:rPr>
          <w:rFonts w:ascii="Times New Roman" w:hAnsi="Times New Roman" w:eastAsia="方正小标宋_GBK" w:cs="Times New Roman"/>
          <w:color w:val="000000" w:themeColor="text1"/>
          <w:sz w:val="32"/>
          <w:szCs w:val="24"/>
          <w14:textFill>
            <w14:solidFill>
              <w14:schemeClr w14:val="tx1"/>
            </w14:solidFill>
          </w14:textFill>
        </w:rPr>
      </w:pPr>
      <w:r>
        <w:rPr>
          <w:rFonts w:ascii="Times New Roman" w:hAnsi="Times New Roman" w:eastAsia="方正小标宋_GBK" w:cs="Times New Roman"/>
          <w:color w:val="000000" w:themeColor="text1"/>
          <w:sz w:val="32"/>
          <w:szCs w:val="24"/>
          <w14:textFill>
            <w14:solidFill>
              <w14:schemeClr w14:val="tx1"/>
            </w14:solidFill>
          </w14:textFill>
        </w:rPr>
        <w:t>部门</w:t>
      </w:r>
      <w:r>
        <w:rPr>
          <w:rFonts w:hint="eastAsia" w:ascii="Times New Roman" w:hAnsi="Times New Roman" w:eastAsia="方正小标宋_GBK" w:cs="Times New Roman"/>
          <w:color w:val="000000" w:themeColor="text1"/>
          <w:sz w:val="32"/>
          <w:szCs w:val="24"/>
          <w14:textFill>
            <w14:solidFill>
              <w14:schemeClr w14:val="tx1"/>
            </w14:solidFill>
          </w14:textFill>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单位名称</w:t>
            </w:r>
          </w:p>
        </w:tc>
        <w:tc>
          <w:tcPr>
            <w:tcW w:w="1134"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单位性质</w:t>
            </w:r>
          </w:p>
        </w:tc>
        <w:tc>
          <w:tcPr>
            <w:tcW w:w="1276"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单位规格</w:t>
            </w:r>
          </w:p>
        </w:tc>
        <w:tc>
          <w:tcPr>
            <w:tcW w:w="2902"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134"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276"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2902"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417" w:type="dxa"/>
            <w:vAlign w:val="center"/>
          </w:tcPr>
          <w:p>
            <w:pPr>
              <w:spacing w:line="300" w:lineRule="exact"/>
              <w:jc w:val="left"/>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石家庄市藁城区科学技术协会</w:t>
            </w:r>
          </w:p>
        </w:tc>
        <w:tc>
          <w:tcPr>
            <w:tcW w:w="1134" w:type="dxa"/>
            <w:vAlign w:val="center"/>
          </w:tcPr>
          <w:p>
            <w:pPr>
              <w:spacing w:line="300" w:lineRule="exact"/>
              <w:jc w:val="center"/>
              <w:rPr>
                <w:rFonts w:hint="default" w:ascii="Times New Roman" w:hAnsi="Times New Roman" w:eastAsia="方正书宋_GBK" w:cs="Times New Roman"/>
                <w:color w:val="000000" w:themeColor="text1"/>
                <w:szCs w:val="24"/>
                <w:lang w:val="en-US" w:eastAsia="zh-CN"/>
                <w14:textFill>
                  <w14:solidFill>
                    <w14:schemeClr w14:val="tx1"/>
                  </w14:solidFill>
                </w14:textFill>
              </w:rPr>
            </w:pPr>
            <w:r>
              <w:rPr>
                <w:rFonts w:hint="eastAsia" w:ascii="方正书宋_GBK" w:eastAsia="方正书宋_GBK"/>
                <w:color w:val="000000" w:themeColor="text1"/>
                <w:lang w:eastAsia="zh-CN"/>
                <w14:textFill>
                  <w14:solidFill>
                    <w14:schemeClr w14:val="tx1"/>
                  </w14:solidFill>
                </w14:textFill>
              </w:rPr>
              <w:t>事业</w:t>
            </w:r>
          </w:p>
        </w:tc>
        <w:tc>
          <w:tcPr>
            <w:tcW w:w="1276"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正科级</w:t>
            </w:r>
          </w:p>
        </w:tc>
        <w:tc>
          <w:tcPr>
            <w:tcW w:w="2902" w:type="dxa"/>
            <w:vAlign w:val="center"/>
          </w:tcPr>
          <w:p>
            <w:pPr>
              <w:spacing w:line="300" w:lineRule="exact"/>
              <w:jc w:val="center"/>
              <w:rPr>
                <w:rFonts w:hint="eastAsia" w:ascii="Times New Roman" w:hAnsi="Times New Roman" w:eastAsia="方正书宋_GBK" w:cs="Times New Roman"/>
                <w:color w:val="000000" w:themeColor="text1"/>
                <w:szCs w:val="24"/>
                <w:lang w:eastAsia="zh-CN"/>
                <w14:textFill>
                  <w14:solidFill>
                    <w14:schemeClr w14:val="tx1"/>
                  </w14:solidFill>
                </w14:textFill>
              </w:rPr>
            </w:pPr>
            <w:r>
              <w:rPr>
                <w:rFonts w:hint="eastAsia" w:ascii="方正书宋_GBK" w:eastAsia="方正书宋_GBK"/>
                <w:color w:val="000000" w:themeColor="text1"/>
                <w:lang w:eastAsia="zh-CN"/>
                <w14:textFill>
                  <w14:solidFill>
                    <w14:schemeClr w14:val="tx1"/>
                  </w14:solidFill>
                </w14:textFill>
              </w:rPr>
              <w:t>财政性资金基本保证</w:t>
            </w:r>
          </w:p>
        </w:tc>
      </w:tr>
    </w:tbl>
    <w:p>
      <w:pPr>
        <w:rPr>
          <w:color w:val="000000" w:themeColor="text1"/>
          <w14:textFill>
            <w14:solidFill>
              <w14:schemeClr w14:val="tx1"/>
            </w14:solidFill>
          </w14:textFill>
        </w:rPr>
      </w:pPr>
    </w:p>
    <w:p>
      <w:pPr>
        <w:ind w:firstLine="640"/>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二、部门预算安排的总体情况</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ascii="Times New Roman" w:hAnsi="Times New Roman" w:eastAsia="仿宋" w:cs="Times New Roman"/>
          <w:color w:val="000000" w:themeColor="text1"/>
          <w:sz w:val="32"/>
          <w:szCs w:val="32"/>
          <w14:textFill>
            <w14:solidFill>
              <w14:schemeClr w14:val="tx1"/>
            </w14:solidFill>
          </w14:textFill>
        </w:rPr>
        <w:t>按照预算管理有关规定，目前我部门预算的编制实行综合预算</w:t>
      </w:r>
      <w:r>
        <w:rPr>
          <w:rFonts w:hint="eastAsia" w:ascii="Times New Roman" w:hAnsi="Times New Roman" w:eastAsia="仿宋" w:cs="Times New Roman"/>
          <w:color w:val="000000" w:themeColor="text1"/>
          <w:sz w:val="32"/>
          <w:szCs w:val="32"/>
          <w14:textFill>
            <w14:solidFill>
              <w14:schemeClr w14:val="tx1"/>
            </w14:solidFill>
          </w14:textFill>
        </w:rPr>
        <w:t>管理</w:t>
      </w:r>
      <w:r>
        <w:rPr>
          <w:rFonts w:ascii="Times New Roman" w:hAnsi="Times New Roman" w:eastAsia="仿宋" w:cs="Times New Roman"/>
          <w:color w:val="000000" w:themeColor="text1"/>
          <w:sz w:val="32"/>
          <w:szCs w:val="32"/>
          <w14:textFill>
            <w14:solidFill>
              <w14:schemeClr w14:val="tx1"/>
            </w14:solidFill>
          </w14:textFill>
        </w:rPr>
        <w:t>，即全部收入和支出都反映的预算中。</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w:t>
      </w:r>
      <w:r>
        <w:rPr>
          <w:rFonts w:ascii="Times New Roman" w:hAnsi="Times New Roman" w:eastAsia="仿宋" w:cs="Times New Roman"/>
          <w:color w:val="000000" w:themeColor="text1"/>
          <w:sz w:val="32"/>
          <w:szCs w:val="32"/>
          <w14:textFill>
            <w14:solidFill>
              <w14:schemeClr w14:val="tx1"/>
            </w14:solidFill>
          </w14:textFill>
        </w:rPr>
        <w:t>收入说明</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反映本部门当年全部收入。2020年预算收入112.52万元，其中：一般公共预算收入112.52万元，基金预算收入0万元，财政专户核拨收入0万元，其他来源收入0万元。</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w:t>
      </w:r>
      <w:r>
        <w:rPr>
          <w:rFonts w:ascii="Times New Roman" w:hAnsi="Times New Roman" w:eastAsia="仿宋" w:cs="Times New Roman"/>
          <w:color w:val="000000" w:themeColor="text1"/>
          <w:sz w:val="32"/>
          <w:szCs w:val="32"/>
          <w14:textFill>
            <w14:solidFill>
              <w14:schemeClr w14:val="tx1"/>
            </w14:solidFill>
          </w14:textFill>
        </w:rPr>
        <w:t>支出说明</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收支预算总表支出栏、基本支出表、项目支出表按经济分类和支出功能分类科目编制，反映藁城区科学技术协会预算中支出预算的总体情况。2020年部门支出预算为112.52万元，其中基本支出107.12万元，包括人员经费96.34万元和日常公用经费10.78万元；项目支出5.4万元。</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3、</w:t>
      </w:r>
      <w:r>
        <w:rPr>
          <w:rFonts w:ascii="Times New Roman" w:hAnsi="Times New Roman" w:eastAsia="仿宋" w:cs="Times New Roman"/>
          <w:color w:val="000000" w:themeColor="text1"/>
          <w:sz w:val="32"/>
          <w:szCs w:val="32"/>
          <w14:textFill>
            <w14:solidFill>
              <w14:schemeClr w14:val="tx1"/>
            </w14:solidFill>
          </w14:textFill>
        </w:rPr>
        <w:t>比上年增减情况</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2020年部门预算收支安排112.52万元，较2019年减少4.08万元，其中：基本支出减少3.48万元，主要是社会保障缴费变化；项目支出减少0.6万，主要是压缩开支。</w:t>
      </w:r>
    </w:p>
    <w:p>
      <w:pPr>
        <w:autoSpaceDE w:val="0"/>
        <w:autoSpaceDN w:val="0"/>
        <w:adjustRightInd w:val="0"/>
        <w:ind w:firstLine="960" w:firstLineChars="3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2020年，我部门机关运行经费共计安排10.78万元，主要用于保证机关正常运转的办公费、差旅费、专用材料及一般设备购置费等支出。</w:t>
      </w:r>
    </w:p>
    <w:p>
      <w:pPr>
        <w:autoSpaceDE w:val="0"/>
        <w:autoSpaceDN w:val="0"/>
        <w:adjustRightInd w:val="0"/>
        <w:ind w:left="198"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四、财政拨款</w:t>
      </w:r>
      <w:r>
        <w:rPr>
          <w:rFonts w:ascii="黑体" w:hAnsi="黑体" w:eastAsia="黑体" w:cs="Times New Roman"/>
          <w:color w:val="000000" w:themeColor="text1"/>
          <w:sz w:val="32"/>
          <w:szCs w:val="32"/>
          <w14:textFill>
            <w14:solidFill>
              <w14:schemeClr w14:val="tx1"/>
            </w14:solidFill>
          </w14:textFill>
        </w:rPr>
        <w:t>“</w:t>
      </w:r>
      <w:r>
        <w:rPr>
          <w:rFonts w:hint="eastAsia" w:ascii="黑体" w:hAnsi="黑体" w:eastAsia="黑体" w:cs="Times New Roman"/>
          <w:color w:val="000000" w:themeColor="text1"/>
          <w:sz w:val="32"/>
          <w:szCs w:val="32"/>
          <w14:textFill>
            <w14:solidFill>
              <w14:schemeClr w14:val="tx1"/>
            </w14:solidFill>
          </w14:textFill>
        </w:rPr>
        <w:t>三公</w:t>
      </w:r>
      <w:r>
        <w:rPr>
          <w:rFonts w:ascii="黑体" w:hAnsi="黑体" w:eastAsia="黑体" w:cs="Times New Roman"/>
          <w:color w:val="000000" w:themeColor="text1"/>
          <w:sz w:val="32"/>
          <w:szCs w:val="32"/>
          <w14:textFill>
            <w14:solidFill>
              <w14:schemeClr w14:val="tx1"/>
            </w14:solidFill>
          </w14:textFill>
        </w:rPr>
        <w:t>”</w:t>
      </w:r>
      <w:r>
        <w:rPr>
          <w:rFonts w:hint="eastAsia" w:ascii="黑体" w:hAnsi="黑体" w:eastAsia="黑体" w:cs="Times New Roman"/>
          <w:color w:val="000000" w:themeColor="text1"/>
          <w:sz w:val="32"/>
          <w:szCs w:val="32"/>
          <w14:textFill>
            <w14:solidFill>
              <w14:schemeClr w14:val="tx1"/>
            </w14:solidFill>
          </w14:textFill>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color w:val="000000" w:themeColor="text1"/>
          <w:sz w:val="32"/>
          <w:szCs w:val="32"/>
          <w:lang w:eastAsia="zh-CN"/>
          <w14:textFill>
            <w14:solidFill>
              <w14:schemeClr w14:val="tx1"/>
            </w14:solidFill>
          </w14:textFill>
        </w:rPr>
      </w:pPr>
      <w:r>
        <w:rPr>
          <w:rFonts w:hint="eastAsia" w:ascii="仿宋" w:hAnsi="仿宋" w:eastAsia="仿宋"/>
          <w:sz w:val="32"/>
          <w:szCs w:val="32"/>
        </w:rPr>
        <w:t xml:space="preserve"> </w:t>
      </w:r>
      <w:r>
        <w:rPr>
          <w:rFonts w:hint="eastAsia" w:ascii="Times New Roman" w:hAnsi="Times New Roman" w:eastAsia="仿宋" w:cs="Times New Roman"/>
          <w:color w:val="000000" w:themeColor="text1"/>
          <w:sz w:val="32"/>
          <w:szCs w:val="32"/>
          <w14:textFill>
            <w14:solidFill>
              <w14:schemeClr w14:val="tx1"/>
            </w14:solidFill>
          </w14:textFill>
        </w:rPr>
        <w:t>2020年本部门安排“三公”经费0万元，</w:t>
      </w:r>
      <w:r>
        <w:rPr>
          <w:rFonts w:hint="eastAsia" w:ascii="Times New Roman" w:hAnsi="Times New Roman" w:eastAsia="仿宋" w:cs="Times New Roman"/>
          <w:color w:val="000000" w:themeColor="text1"/>
          <w:sz w:val="32"/>
          <w:szCs w:val="32"/>
          <w:lang w:eastAsia="zh-CN"/>
          <w14:textFill>
            <w14:solidFill>
              <w14:schemeClr w14:val="tx1"/>
            </w14:solidFill>
          </w14:textFill>
        </w:rPr>
        <w:t>其中：</w:t>
      </w:r>
    </w:p>
    <w:p>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1、因公出国（境）费0万元，与上年相比持平，无增减变化。</w:t>
      </w:r>
    </w:p>
    <w:p>
      <w:pPr>
        <w:autoSpaceDE w:val="0"/>
        <w:autoSpaceDN w:val="0"/>
        <w:adjustRightInd w:val="0"/>
        <w:ind w:left="198" w:firstLine="640" w:firstLineChars="200"/>
        <w:jc w:val="left"/>
        <w:rPr>
          <w:rFonts w:ascii="仿宋" w:hAnsi="仿宋" w:eastAsia="仿宋"/>
          <w:sz w:val="32"/>
          <w:szCs w:val="32"/>
          <w:highlight w:val="red"/>
        </w:rPr>
      </w:pPr>
      <w:r>
        <w:rPr>
          <w:rFonts w:hint="eastAsia" w:ascii="Times New Roman" w:hAnsi="Times New Roman" w:eastAsia="仿宋" w:cs="Times New Roman"/>
          <w:color w:val="000000" w:themeColor="text1"/>
          <w:sz w:val="32"/>
          <w:szCs w:val="32"/>
          <w14:textFill>
            <w14:solidFill>
              <w14:schemeClr w14:val="tx1"/>
            </w14:solidFill>
          </w14:textFill>
        </w:rPr>
        <w:t>2、</w:t>
      </w:r>
      <w:r>
        <w:rPr>
          <w:rFonts w:hint="eastAsia" w:ascii="Times New Roman" w:hAnsi="Times New Roman" w:eastAsia="仿宋" w:cs="Times New Roman"/>
          <w:color w:val="000000" w:themeColor="text1"/>
          <w:sz w:val="32"/>
          <w:szCs w:val="32"/>
          <w:lang w:eastAsia="zh-CN"/>
          <w14:textFill>
            <w14:solidFill>
              <w14:schemeClr w14:val="tx1"/>
            </w14:solidFill>
          </w14:textFill>
        </w:rPr>
        <w:t>公务用车购置及运维费</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0万元，其中：</w:t>
      </w:r>
      <w:r>
        <w:rPr>
          <w:rFonts w:hint="eastAsia" w:ascii="Times New Roman" w:hAnsi="Times New Roman" w:eastAsia="仿宋" w:cs="Times New Roman"/>
          <w:color w:val="000000" w:themeColor="text1"/>
          <w:sz w:val="32"/>
          <w:szCs w:val="32"/>
          <w14:textFill>
            <w14:solidFill>
              <w14:schemeClr w14:val="tx1"/>
            </w14:solidFill>
          </w14:textFill>
        </w:rPr>
        <w:t>公务用车购置费0万元，与上年持平，无</w:t>
      </w:r>
      <w:r>
        <w:rPr>
          <w:rFonts w:hint="eastAsia" w:ascii="仿宋" w:hAnsi="仿宋" w:eastAsia="仿宋"/>
          <w:sz w:val="32"/>
          <w:szCs w:val="32"/>
        </w:rPr>
        <w:t>增减变化</w:t>
      </w:r>
      <w:r>
        <w:rPr>
          <w:rFonts w:hint="eastAsia" w:ascii="仿宋" w:hAnsi="仿宋" w:eastAsia="仿宋"/>
          <w:sz w:val="32"/>
          <w:szCs w:val="32"/>
          <w:lang w:eastAsia="zh-CN"/>
        </w:rPr>
        <w:t>；</w:t>
      </w:r>
      <w:r>
        <w:rPr>
          <w:rFonts w:hint="eastAsia" w:ascii="Times New Roman" w:hAnsi="Times New Roman" w:eastAsia="仿宋" w:cs="Times New Roman"/>
          <w:color w:val="000000" w:themeColor="text1"/>
          <w:sz w:val="32"/>
          <w:szCs w:val="32"/>
          <w14:textFill>
            <w14:solidFill>
              <w14:schemeClr w14:val="tx1"/>
            </w14:solidFill>
          </w14:textFill>
        </w:rPr>
        <w:t>公务用车运行维护费0万元，与上年持平，无</w:t>
      </w:r>
      <w:r>
        <w:rPr>
          <w:rFonts w:hint="eastAsia" w:ascii="仿宋" w:hAnsi="仿宋" w:eastAsia="仿宋"/>
          <w:sz w:val="32"/>
          <w:szCs w:val="32"/>
        </w:rPr>
        <w:t>增减变化。</w:t>
      </w:r>
    </w:p>
    <w:p>
      <w:pPr>
        <w:ind w:firstLine="960" w:firstLineChars="300"/>
        <w:outlineLvl w:val="0"/>
        <w:rPr>
          <w:rFonts w:ascii="仿宋" w:hAnsi="仿宋" w:eastAsia="仿宋"/>
          <w:sz w:val="32"/>
          <w:szCs w:val="32"/>
          <w:highlight w:val="red"/>
        </w:rPr>
      </w:pPr>
      <w:r>
        <w:rPr>
          <w:rFonts w:hint="eastAsia" w:ascii="仿宋" w:hAnsi="仿宋" w:eastAsia="仿宋"/>
          <w:sz w:val="32"/>
          <w:szCs w:val="32"/>
          <w:lang w:val="en-US" w:eastAsia="zh-CN"/>
        </w:rPr>
        <w:t>3</w:t>
      </w:r>
      <w:r>
        <w:rPr>
          <w:rFonts w:hint="eastAsia" w:ascii="仿宋" w:hAnsi="仿宋" w:eastAsia="仿宋"/>
          <w:sz w:val="32"/>
          <w:szCs w:val="32"/>
        </w:rPr>
        <w:t>、公务接待费0万元，与上年持平，无增减变化。</w:t>
      </w:r>
    </w:p>
    <w:p>
      <w:pPr>
        <w:autoSpaceDE w:val="0"/>
        <w:autoSpaceDN w:val="0"/>
        <w:adjustRightInd w:val="0"/>
        <w:ind w:left="198"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五、预算绩效信息</w:t>
      </w:r>
    </w:p>
    <w:p>
      <w:pPr>
        <w:ind w:firstLine="640" w:firstLineChars="200"/>
        <w:jc w:val="left"/>
        <w:rPr>
          <w:rFonts w:ascii="Times New Roman" w:hAnsi="Times New Roman" w:eastAsia="方正仿宋_GBK" w:cs="Times New Roman"/>
          <w:color w:val="000000" w:themeColor="text1"/>
          <w:sz w:val="32"/>
          <w:szCs w:val="32"/>
          <w14:textFill>
            <w14:solidFill>
              <w14:schemeClr w14:val="tx1"/>
            </w14:solidFill>
          </w14:textFill>
        </w:rPr>
      </w:pPr>
      <w:bookmarkStart w:id="0" w:name="_Toc471398463"/>
      <w:r>
        <w:rPr>
          <w:rFonts w:hint="eastAsia" w:ascii="Times New Roman" w:hAnsi="Times New Roman" w:eastAsia="方正仿宋_GBK" w:cs="Times New Roman"/>
          <w:b/>
          <w:color w:val="000000" w:themeColor="text1"/>
          <w:sz w:val="32"/>
          <w:szCs w:val="32"/>
          <w14:textFill>
            <w14:solidFill>
              <w14:schemeClr w14:val="tx1"/>
            </w14:solidFill>
          </w14:textFill>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（一）总体绩效目标</w:t>
      </w:r>
    </w:p>
    <w:p>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以习近平新时代中国特色社会主义思想为指导，</w:t>
      </w:r>
      <w:r>
        <w:rPr>
          <w:rFonts w:hint="eastAsia" w:ascii="仿宋" w:hAnsi="仿宋" w:eastAsia="仿宋" w:cs="仿宋"/>
          <w:color w:val="000000" w:themeColor="text1"/>
          <w:sz w:val="32"/>
          <w:szCs w:val="32"/>
          <w:shd w:val="clear" w:color="auto" w:fill="FFFFFF"/>
          <w14:textFill>
            <w14:solidFill>
              <w14:schemeClr w14:val="tx1"/>
            </w14:solidFill>
          </w14:textFill>
        </w:rPr>
        <w:t>严格落实习近平总书记讲的“科技兴则民族兴，科技强则国家强”的总体思路，并且</w:t>
      </w:r>
      <w:r>
        <w:rPr>
          <w:rFonts w:hint="eastAsia" w:ascii="仿宋" w:hAnsi="仿宋" w:eastAsia="仿宋" w:cs="仿宋"/>
          <w:color w:val="000000" w:themeColor="text1"/>
          <w:sz w:val="32"/>
          <w:szCs w:val="32"/>
          <w14:textFill>
            <w14:solidFill>
              <w14:schemeClr w14:val="tx1"/>
            </w14:solidFill>
          </w14:textFill>
        </w:rPr>
        <w:t>围绕区委区政府2020年度重点工作任务，加大科协改革协调推进力度，</w:t>
      </w:r>
      <w:r>
        <w:rPr>
          <w:rFonts w:hint="eastAsia" w:ascii="仿宋" w:hAnsi="仿宋" w:eastAsia="仿宋" w:cs="仿宋"/>
          <w:color w:val="000000" w:themeColor="text1"/>
          <w:sz w:val="32"/>
          <w:szCs w:val="32"/>
          <w:shd w:val="clear" w:color="auto" w:fill="FFFFFF"/>
          <w14:textFill>
            <w14:solidFill>
              <w14:schemeClr w14:val="tx1"/>
            </w14:solidFill>
          </w14:textFill>
        </w:rPr>
        <w:t>发挥好科协组织作用，</w:t>
      </w:r>
      <w:r>
        <w:rPr>
          <w:rFonts w:hint="eastAsia" w:ascii="仿宋" w:hAnsi="仿宋" w:eastAsia="仿宋" w:cs="仿宋"/>
          <w:color w:val="000000" w:themeColor="text1"/>
          <w:sz w:val="32"/>
          <w:szCs w:val="32"/>
          <w14:textFill>
            <w14:solidFill>
              <w14:schemeClr w14:val="tx1"/>
            </w14:solidFill>
          </w14:textFill>
        </w:rPr>
        <w:t>大力开展科学普及和推广，提高全民科学素质，为建设经济强区魅力藁城贡献力量。</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1" w:name="_Toc29484628"/>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总体绩效目标</w:instrText>
      </w:r>
      <w:bookmarkEnd w:id="1"/>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（二）分项绩效目标</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2" w:name="_Toc29484629"/>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分项绩效目标</w:instrText>
      </w:r>
      <w:bookmarkEnd w:id="2"/>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pPr>
        <w:spacing w:line="560" w:lineRule="atLeast"/>
        <w:ind w:left="64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绩效目标：推进《石家庄市藁城区全民科学素质行动计划纲要实施方案（2016-2020）》，协调科</w:t>
      </w:r>
    </w:p>
    <w:p>
      <w:pPr>
        <w:spacing w:line="560" w:lineRule="atLeast"/>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协系统改革工作，结合提升基层组织力，进一步开展“科学素质提升工程进农村”，组织协调有关部门开展科技下乡、科技咨询、技术服务活动，实现“普及科学知识、倡导科学方法、传播科学思想、弘扬科学精神”的目的。</w:t>
      </w:r>
    </w:p>
    <w:p>
      <w:pPr>
        <w:spacing w:line="560" w:lineRule="atLeast"/>
        <w:ind w:left="64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绩效指标：大力开展科学普及和推广，倡导科学方法、</w:t>
      </w:r>
    </w:p>
    <w:p>
      <w:pPr>
        <w:autoSpaceDE w:val="0"/>
        <w:autoSpaceDN w:val="0"/>
        <w:adjustRightInd w:val="0"/>
        <w:ind w:firstLine="640" w:firstLineChars="200"/>
        <w:jc w:val="left"/>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传播科学思想、弘扬科学精神，提高全民科学素质，通过对科普知识的传播,来提高人们的科学素养,弘扬科学精神。开展学校、社区、农村的科普宣传工作，进一步加大科普宣传力度，全年开展各类科普活动30次以上。</w:t>
      </w:r>
    </w:p>
    <w:p>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（三）工作保障措施</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3" w:name="_Toc29484630"/>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工作保障措施</w:instrText>
      </w:r>
      <w:bookmarkEnd w:id="3"/>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pPr>
        <w:spacing w:line="560" w:lineRule="atLeast"/>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w:t>
      </w:r>
      <w:r>
        <w:rPr>
          <w:rFonts w:hint="eastAsia" w:ascii="楷体" w:hAnsi="楷体" w:eastAsia="楷体" w:cs="楷体"/>
          <w:color w:val="000000" w:themeColor="text1"/>
          <w:sz w:val="32"/>
          <w:szCs w:val="32"/>
          <w:shd w:val="clear" w:color="auto" w:fill="FFFFFF"/>
          <w14:textFill>
            <w14:solidFill>
              <w14:schemeClr w14:val="tx1"/>
            </w14:solidFill>
          </w14:textFill>
        </w:rPr>
        <w:t>确定科协目标，充分发挥科协作用。</w:t>
      </w:r>
    </w:p>
    <w:p>
      <w:pPr>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楷体" w:hAnsi="楷体" w:eastAsia="楷体" w:cs="楷体"/>
          <w:color w:val="000000" w:themeColor="text1"/>
          <w:sz w:val="32"/>
          <w:szCs w:val="32"/>
          <w:shd w:val="clear" w:color="auto" w:fill="FFFFFF"/>
          <w14:textFill>
            <w14:solidFill>
              <w14:schemeClr w14:val="tx1"/>
            </w14:solidFill>
          </w14:textFill>
        </w:rPr>
        <w:t>加强基层科协组织建设，发挥好基层科协作用。确定科协目标，充分发挥科协作用。</w:t>
      </w:r>
      <w:r>
        <w:rPr>
          <w:rFonts w:hint="eastAsia" w:ascii="仿宋" w:hAnsi="仿宋" w:eastAsia="仿宋"/>
          <w:color w:val="000000" w:themeColor="text1"/>
          <w:sz w:val="32"/>
          <w:szCs w:val="32"/>
          <w14:textFill>
            <w14:solidFill>
              <w14:schemeClr w14:val="tx1"/>
            </w14:solidFill>
          </w14:textFill>
        </w:rPr>
        <w:t>协调各责任单位推进年度工作计划和活动的开展，完成年度工作任务目标。</w:t>
      </w:r>
    </w:p>
    <w:p>
      <w:pPr>
        <w:spacing w:line="560" w:lineRule="atLeast"/>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楷体" w:hAnsi="楷体" w:eastAsia="楷体" w:cs="楷体"/>
          <w:color w:val="000000" w:themeColor="text1"/>
          <w:sz w:val="32"/>
          <w:szCs w:val="32"/>
          <w:shd w:val="clear" w:color="auto" w:fill="FFFFFF"/>
          <w14:textFill>
            <w14:solidFill>
              <w14:schemeClr w14:val="tx1"/>
            </w14:solidFill>
          </w14:textFill>
        </w:rPr>
        <w:t>2、加强区科协组织体系建设。</w:t>
      </w:r>
    </w:p>
    <w:p>
      <w:pPr>
        <w:shd w:val="solid" w:color="FFFFFF" w:fill="auto"/>
        <w:autoSpaceDN w:val="0"/>
        <w:spacing w:line="45" w:lineRule="atLeast"/>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14:textFill>
            <w14:solidFill>
              <w14:schemeClr w14:val="tx1"/>
            </w14:solidFill>
          </w14:textFill>
        </w:rPr>
        <w:t>开展科技工作者普查，扩大科技工作者的组织覆盖面。发展壮大科技社团能力。围绕重点产业、依托龙头企业来发展壮大学会，以行业内领军企业为主要发起者，推动成立相关行业科技社团。</w:t>
      </w:r>
    </w:p>
    <w:p>
      <w:pPr>
        <w:shd w:val="solid" w:color="FFFFFF" w:fill="auto"/>
        <w:autoSpaceDN w:val="0"/>
        <w:spacing w:line="45" w:lineRule="atLeast"/>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楷体" w:hAnsi="楷体" w:eastAsia="楷体" w:cs="楷体"/>
          <w:color w:val="000000" w:themeColor="text1"/>
          <w:sz w:val="32"/>
          <w:szCs w:val="32"/>
          <w:shd w:val="clear" w:color="auto" w:fill="FFFFFF"/>
          <w14:textFill>
            <w14:solidFill>
              <w14:schemeClr w14:val="tx1"/>
            </w14:solidFill>
          </w14:textFill>
        </w:rPr>
        <w:t>3、提升科普传播能力建设。</w:t>
      </w:r>
    </w:p>
    <w:p>
      <w:pPr>
        <w:shd w:val="solid" w:color="FFFFFF" w:fill="auto"/>
        <w:autoSpaceDN w:val="0"/>
        <w:spacing w:line="45" w:lineRule="atLeast"/>
        <w:ind w:firstLine="640" w:firstLineChars="200"/>
        <w:rPr>
          <w:rFonts w:ascii="楷体" w:hAnsi="楷体" w:eastAsia="楷体" w:cs="楷体"/>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14:textFill>
            <w14:solidFill>
              <w14:schemeClr w14:val="tx1"/>
            </w14:solidFill>
          </w14:textFill>
        </w:rPr>
        <w:t>强化科普宣传社会化，创新载体，加强科普设施、阵地建设，加快发展网络科普，推进科普信息化建设。发挥科协牵头作用，调动成员单位积极性，构建全民参与科普工作新格局，实现科普宣传方式的社会化。</w:t>
      </w:r>
    </w:p>
    <w:p>
      <w:pPr>
        <w:autoSpaceDE w:val="0"/>
        <w:autoSpaceDN w:val="0"/>
        <w:adjustRightInd w:val="0"/>
        <w:ind w:left="198" w:firstLine="640" w:firstLineChars="200"/>
        <w:jc w:val="left"/>
        <w:rPr>
          <w:rFonts w:ascii="Times New Roman" w:hAnsi="宋体"/>
          <w:b/>
          <w:color w:val="000000" w:themeColor="text1"/>
          <w:sz w:val="28"/>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第二部分  预算项目绩效目标</w:t>
      </w:r>
      <w:r>
        <w:rPr>
          <w:rFonts w:hint="eastAsia" w:ascii="方正仿宋_GBK" w:eastAsia="方正仿宋_GBK"/>
          <w:b/>
          <w:color w:val="000000" w:themeColor="text1"/>
          <w:sz w:val="28"/>
          <w14:textFill>
            <w14:solidFill>
              <w14:schemeClr w14:val="tx1"/>
            </w14:solidFill>
          </w14:textFill>
        </w:rPr>
        <w:t xml:space="preserve"> </w:t>
      </w:r>
      <w:r>
        <w:rPr>
          <w:color w:val="000000" w:themeColor="text1"/>
          <w14:textFill>
            <w14:solidFill>
              <w14:schemeClr w14:val="tx1"/>
            </w14:solidFill>
          </w14:textFill>
        </w:rPr>
        <w:fldChar w:fldCharType="begin"/>
      </w:r>
      <w:r>
        <w:rPr>
          <w:rFonts w:ascii="方正仿宋_GBK" w:eastAsia="方正仿宋_GBK"/>
          <w:b/>
          <w:color w:val="000000" w:themeColor="text1"/>
          <w:sz w:val="28"/>
          <w14:textFill>
            <w14:solidFill>
              <w14:schemeClr w14:val="tx1"/>
            </w14:solidFill>
          </w14:textFill>
        </w:rPr>
        <w:instrText xml:space="preserve"> </w:instrText>
      </w:r>
      <w:r>
        <w:rPr>
          <w:rFonts w:hint="eastAsia" w:ascii="方正仿宋_GBK" w:eastAsia="方正仿宋_GBK"/>
          <w:b/>
          <w:color w:val="000000" w:themeColor="text1"/>
          <w:sz w:val="28"/>
          <w14:textFill>
            <w14:solidFill>
              <w14:schemeClr w14:val="tx1"/>
            </w14:solidFill>
          </w14:textFill>
        </w:rPr>
        <w:instrText xml:space="preserve">TC </w:instrText>
      </w:r>
      <w:bookmarkStart w:id="4" w:name="_Toc29484634"/>
      <w:r>
        <w:rPr>
          <w:rFonts w:hint="eastAsia" w:ascii="方正仿宋_GBK" w:eastAsia="方正仿宋_GBK"/>
          <w:b/>
          <w:color w:val="000000" w:themeColor="text1"/>
          <w:sz w:val="28"/>
          <w14:textFill>
            <w14:solidFill>
              <w14:schemeClr w14:val="tx1"/>
            </w14:solidFill>
          </w14:textFill>
        </w:rPr>
        <w:instrText xml:space="preserve">3、第三方评价工作经费绩效目标表</w:instrText>
      </w:r>
      <w:bookmarkEnd w:id="4"/>
      <w:r>
        <w:rPr>
          <w:rFonts w:hint="eastAsia" w:ascii="方正仿宋_GBK" w:eastAsia="方正仿宋_GBK"/>
          <w:b/>
          <w:color w:val="000000" w:themeColor="text1"/>
          <w:sz w:val="28"/>
          <w14:textFill>
            <w14:solidFill>
              <w14:schemeClr w14:val="tx1"/>
            </w14:solidFill>
          </w14:textFill>
        </w:rPr>
        <w:instrText xml:space="preserve"> \f C \l 1</w:instrText>
      </w:r>
      <w:r>
        <w:rPr>
          <w:rFonts w:ascii="方正仿宋_GBK" w:eastAsia="方正仿宋_GBK"/>
          <w:b/>
          <w:color w:val="000000" w:themeColor="text1"/>
          <w:sz w:val="28"/>
          <w14:textFill>
            <w14:solidFill>
              <w14:schemeClr w14:val="tx1"/>
            </w14:solidFill>
          </w14:textFill>
        </w:rPr>
        <w:instrText xml:space="preserve"> </w:instrText>
      </w:r>
      <w:r>
        <w:rPr>
          <w:rFonts w:ascii="方正仿宋_GBK" w:eastAsia="方正仿宋_GBK"/>
          <w:b/>
          <w:color w:val="000000" w:themeColor="text1"/>
          <w:sz w:val="28"/>
          <w14:textFill>
            <w14:solidFill>
              <w14:schemeClr w14:val="tx1"/>
            </w14:solidFill>
          </w14:textFill>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绩效目标</w:t>
            </w:r>
          </w:p>
        </w:tc>
        <w:tc>
          <w:tcPr>
            <w:tcW w:w="8278" w:type="dxa"/>
            <w:gridSpan w:val="2"/>
            <w:tcBorders>
              <w:bottom w:val="nil"/>
            </w:tcBorders>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全年开展各类科普活动30次以上。</w:t>
            </w:r>
          </w:p>
          <w:p>
            <w:pPr>
              <w:spacing w:line="300" w:lineRule="exact"/>
              <w:jc w:val="left"/>
              <w:rPr>
                <w:rFonts w:ascii="方正书宋_GBK" w:eastAsia="方正书宋_GBK"/>
                <w:color w:val="000000" w:themeColor="text1"/>
                <w14:textFill>
                  <w14:solidFill>
                    <w14:schemeClr w14:val="tx1"/>
                  </w14:solidFill>
                </w14:textFill>
              </w:rPr>
            </w:pPr>
          </w:p>
        </w:tc>
      </w:tr>
    </w:tbl>
    <w:p>
      <w:pPr>
        <w:spacing w:line="14" w:lineRule="exact"/>
        <w:ind w:firstLine="420" w:firstLineChars="200"/>
        <w:jc w:val="center"/>
        <w:rPr>
          <w:rFonts w:ascii="Times New Roman" w:hAnsi="宋体"/>
          <w:color w:val="000000" w:themeColor="text1"/>
          <w14:textFill>
            <w14:solidFill>
              <w14:schemeClr w14:val="tx1"/>
            </w14:solidFill>
          </w14:textFill>
        </w:rPr>
      </w:pPr>
      <w:r>
        <w:rPr>
          <w:rFonts w:ascii="方正书宋_GBK" w:eastAsia="方正书宋_GBK"/>
          <w:color w:val="000000" w:themeColor="text1"/>
          <w14:textFill>
            <w14:solidFill>
              <w14:schemeClr w14:val="tx1"/>
            </w14:solidFill>
          </w14:textFill>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一级指标</w:t>
            </w:r>
          </w:p>
        </w:tc>
        <w:tc>
          <w:tcPr>
            <w:tcW w:w="1134"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二级指标</w:t>
            </w:r>
          </w:p>
        </w:tc>
        <w:tc>
          <w:tcPr>
            <w:tcW w:w="1276"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三级指标</w:t>
            </w:r>
          </w:p>
        </w:tc>
        <w:tc>
          <w:tcPr>
            <w:tcW w:w="2891"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绩效指标描述</w:t>
            </w:r>
          </w:p>
        </w:tc>
        <w:tc>
          <w:tcPr>
            <w:tcW w:w="1276"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指标值</w:t>
            </w:r>
          </w:p>
        </w:tc>
        <w:tc>
          <w:tcPr>
            <w:tcW w:w="1701"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产出指标</w:t>
            </w:r>
          </w:p>
        </w:tc>
        <w:tc>
          <w:tcPr>
            <w:tcW w:w="1134"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数量指标</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普及率</w:t>
            </w:r>
          </w:p>
          <w:p>
            <w:pPr>
              <w:spacing w:line="300" w:lineRule="exact"/>
              <w:jc w:val="left"/>
              <w:rPr>
                <w:rFonts w:ascii="方正书宋_GBK" w:eastAsia="方正书宋_GBK"/>
                <w:color w:val="000000" w:themeColor="text1"/>
                <w14:textFill>
                  <w14:solidFill>
                    <w14:schemeClr w14:val="tx1"/>
                  </w14:solidFill>
                </w14:textFill>
              </w:rPr>
            </w:pPr>
          </w:p>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群众收益率</w:t>
            </w:r>
          </w:p>
        </w:tc>
        <w:tc>
          <w:tcPr>
            <w:tcW w:w="289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普及科学知识、倡导科学方法、传播科学思想、弘扬科学精神。</w:t>
            </w:r>
          </w:p>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大力开展科学普及和推广，提高全民科学素质</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≥80%</w:t>
            </w:r>
          </w:p>
        </w:tc>
        <w:tc>
          <w:tcPr>
            <w:tcW w:w="170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质量指标</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资料发放率</w:t>
            </w:r>
          </w:p>
        </w:tc>
        <w:tc>
          <w:tcPr>
            <w:tcW w:w="289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科普活动现场，工作人员向群众发放宣传材料，组织开展了科普知识讲座。</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≥8</w:t>
            </w:r>
            <w:r>
              <w:rPr>
                <w:rFonts w:ascii="方正书宋_GBK" w:eastAsia="方正书宋_GBK"/>
                <w:color w:val="000000" w:themeColor="text1"/>
                <w14:textFill>
                  <w14:solidFill>
                    <w14:schemeClr w14:val="tx1"/>
                  </w14:solidFill>
                </w14:textFill>
              </w:rPr>
              <w:t>0</w:t>
            </w:r>
            <w:r>
              <w:rPr>
                <w:rFonts w:hint="eastAsia" w:ascii="方正书宋_GBK" w:eastAsia="方正书宋_GBK"/>
                <w:color w:val="000000" w:themeColor="text1"/>
                <w14:textFill>
                  <w14:solidFill>
                    <w14:schemeClr w14:val="tx1"/>
                  </w14:solidFill>
                </w14:textFill>
              </w:rPr>
              <w:t>%</w:t>
            </w:r>
          </w:p>
        </w:tc>
        <w:tc>
          <w:tcPr>
            <w:tcW w:w="170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2891"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701" w:type="dxa"/>
            <w:vAlign w:val="center"/>
          </w:tcPr>
          <w:p>
            <w:pPr>
              <w:spacing w:line="300" w:lineRule="exact"/>
              <w:jc w:val="left"/>
              <w:rPr>
                <w:rFonts w:ascii="方正书宋_GBK" w:eastAsia="方正书宋_GBK"/>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效果指标</w:t>
            </w:r>
          </w:p>
        </w:tc>
        <w:tc>
          <w:tcPr>
            <w:tcW w:w="1134"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社会效益指标</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内容实用性</w:t>
            </w:r>
          </w:p>
        </w:tc>
        <w:tc>
          <w:tcPr>
            <w:tcW w:w="289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普及科学知识就是一种社会教育,通过对科普知识的传播,来提高人们的科学素养,弘扬科学精神。</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≥80%</w:t>
            </w:r>
          </w:p>
        </w:tc>
        <w:tc>
          <w:tcPr>
            <w:tcW w:w="170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满意度指标</w:t>
            </w:r>
          </w:p>
        </w:tc>
        <w:tc>
          <w:tcPr>
            <w:tcW w:w="1134"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服务对象满意度指标</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群众满意率</w:t>
            </w:r>
          </w:p>
        </w:tc>
        <w:tc>
          <w:tcPr>
            <w:tcW w:w="289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科普信息提供对公众感知科普志愿服务质量影响较为显著，服务质量对公众满意度起正向作用</w:t>
            </w:r>
          </w:p>
        </w:tc>
        <w:tc>
          <w:tcPr>
            <w:tcW w:w="1276"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≥80%</w:t>
            </w:r>
          </w:p>
        </w:tc>
        <w:tc>
          <w:tcPr>
            <w:tcW w:w="1701" w:type="dxa"/>
            <w:vAlign w:val="center"/>
          </w:tcPr>
          <w:p>
            <w:pPr>
              <w:spacing w:line="300" w:lineRule="exact"/>
              <w:jc w:val="left"/>
              <w:rPr>
                <w:rFonts w:ascii="方正书宋_GBK" w:eastAsia="方正书宋_GBK"/>
                <w:color w:val="000000" w:themeColor="text1"/>
                <w14:textFill>
                  <w14:solidFill>
                    <w14:schemeClr w14:val="tx1"/>
                  </w14:solidFill>
                </w14:textFill>
              </w:rPr>
            </w:pPr>
            <w:r>
              <w:rPr>
                <w:rFonts w:hint="eastAsia" w:ascii="方正书宋_GBK" w:eastAsia="方正书宋_GBK"/>
                <w:color w:val="000000" w:themeColor="text1"/>
                <w14:textFill>
                  <w14:solidFill>
                    <w14:schemeClr w14:val="tx1"/>
                  </w14:solidFill>
                </w14:textFill>
              </w:rPr>
              <w:t>上级文件</w:t>
            </w:r>
          </w:p>
        </w:tc>
      </w:tr>
    </w:tbl>
    <w:p>
      <w:pPr>
        <w:spacing w:line="300" w:lineRule="exact"/>
        <w:ind w:firstLine="420" w:firstLineChars="200"/>
        <w:jc w:val="left"/>
        <w:rPr>
          <w:color w:val="000000" w:themeColor="text1"/>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ind w:firstLine="420" w:firstLineChars="200"/>
        <w:jc w:val="left"/>
        <w:textAlignment w:val="auto"/>
        <w:rPr>
          <w:color w:val="000000" w:themeColor="text1"/>
          <w14:textFill>
            <w14:solidFill>
              <w14:schemeClr w14:val="tx1"/>
            </w14:solidFill>
          </w14:textFill>
        </w:rPr>
      </w:pPr>
    </w:p>
    <w:bookmarkEnd w:id="0"/>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840" w:leftChars="0" w:firstLine="0" w:firstLineChars="0"/>
        <w:jc w:val="left"/>
        <w:textAlignment w:val="auto"/>
        <w:rPr>
          <w:rFonts w:hint="eastAsia"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政府采购预算情况</w:t>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840" w:leftChars="0"/>
        <w:jc w:val="left"/>
        <w:textAlignment w:val="auto"/>
        <w:rPr>
          <w:rFonts w:hint="eastAsia" w:ascii="黑体" w:hAnsi="黑体" w:eastAsia="黑体" w:cs="Times New Roman"/>
          <w:color w:val="000000" w:themeColor="text1"/>
          <w:sz w:val="32"/>
          <w:szCs w:val="32"/>
          <w14:textFill>
            <w14:solidFill>
              <w14:schemeClr w14:val="tx1"/>
            </w14:solidFill>
          </w14:textFill>
        </w:rPr>
      </w:pPr>
      <w:r>
        <w:rPr>
          <w:rFonts w:hint="eastAsia" w:ascii="仿宋" w:hAnsi="仿宋" w:eastAsia="仿宋"/>
          <w:sz w:val="32"/>
          <w:szCs w:val="32"/>
          <w:lang w:eastAsia="zh-CN"/>
        </w:rPr>
        <w:t>20</w:t>
      </w:r>
      <w:r>
        <w:rPr>
          <w:rFonts w:hint="eastAsia" w:ascii="仿宋" w:hAnsi="仿宋" w:eastAsia="仿宋"/>
          <w:sz w:val="32"/>
          <w:szCs w:val="32"/>
          <w:lang w:val="en-US" w:eastAsia="zh-CN"/>
        </w:rPr>
        <w:t>20</w:t>
      </w:r>
      <w:r>
        <w:rPr>
          <w:rFonts w:hint="eastAsia" w:ascii="仿宋" w:hAnsi="仿宋" w:eastAsia="仿宋"/>
          <w:sz w:val="32"/>
          <w:szCs w:val="32"/>
          <w:lang w:eastAsia="zh-CN"/>
        </w:rPr>
        <w:t>年，本部门安排采购预算0万元。具体内容见下表。</w:t>
      </w:r>
    </w:p>
    <w:tbl>
      <w:tblPr>
        <w:tblStyle w:val="7"/>
        <w:tblpPr w:leftFromText="180" w:rightFromText="180" w:vertAnchor="text" w:horzAnchor="page" w:tblpX="675" w:tblpY="294"/>
        <w:tblOverlap w:val="never"/>
        <w:tblW w:w="1562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olor w:val="000000" w:themeColor="text1"/>
                <w:sz w:val="24"/>
                <w14:textFill>
                  <w14:solidFill>
                    <w14:schemeClr w14:val="tx1"/>
                  </w14:solidFill>
                </w14:textFill>
              </w:rPr>
            </w:pPr>
            <w:r>
              <w:rPr>
                <w:rFonts w:hint="eastAsia" w:ascii="方正小标宋_GBK" w:eastAsia="方正小标宋_GBK"/>
                <w:color w:val="000000" w:themeColor="text1"/>
                <w:sz w:val="24"/>
                <w14:textFill>
                  <w14:solidFill>
                    <w14:schemeClr w14:val="tx1"/>
                  </w14:solidFill>
                </w14:textFill>
              </w:rPr>
              <w:t>731石家庄市藁城区科学技术协会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sz w:val="24"/>
                <w14:textFill>
                  <w14:solidFill>
                    <w14:schemeClr w14:val="tx1"/>
                  </w14:solidFill>
                </w14:textFill>
              </w:rPr>
            </w:pPr>
            <w:r>
              <w:rPr>
                <w:rFonts w:hint="eastAsia" w:ascii="方正书宋_GBK" w:eastAsia="方正书宋_GBK"/>
                <w:color w:val="000000" w:themeColor="text1"/>
                <w:sz w:val="24"/>
                <w14:textFill>
                  <w14:solidFill>
                    <w14:schemeClr w14:val="tx1"/>
                  </w14:solidFill>
                </w14:textFill>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4240" w:type="dxa"/>
            <w:gridSpan w:val="2"/>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政府采购项目来源</w:t>
            </w:r>
          </w:p>
        </w:tc>
        <w:tc>
          <w:tcPr>
            <w:tcW w:w="1559" w:type="dxa"/>
            <w:vMerge w:val="restart"/>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采购物品名称</w:t>
            </w:r>
          </w:p>
        </w:tc>
        <w:tc>
          <w:tcPr>
            <w:tcW w:w="1417" w:type="dxa"/>
            <w:vMerge w:val="restart"/>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政府采购目录序号</w:t>
            </w:r>
          </w:p>
        </w:tc>
        <w:tc>
          <w:tcPr>
            <w:tcW w:w="709" w:type="dxa"/>
            <w:vMerge w:val="restart"/>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计量  单位</w:t>
            </w:r>
          </w:p>
        </w:tc>
        <w:tc>
          <w:tcPr>
            <w:tcW w:w="851" w:type="dxa"/>
            <w:vMerge w:val="restart"/>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数量</w:t>
            </w:r>
          </w:p>
        </w:tc>
        <w:tc>
          <w:tcPr>
            <w:tcW w:w="992" w:type="dxa"/>
            <w:vMerge w:val="restart"/>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单价</w:t>
            </w:r>
          </w:p>
        </w:tc>
        <w:tc>
          <w:tcPr>
            <w:tcW w:w="5854" w:type="dxa"/>
            <w:gridSpan w:val="6"/>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3106"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项目名称</w:t>
            </w:r>
          </w:p>
        </w:tc>
        <w:tc>
          <w:tcPr>
            <w:tcW w:w="1134"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预算资金</w:t>
            </w:r>
          </w:p>
        </w:tc>
        <w:tc>
          <w:tcPr>
            <w:tcW w:w="1559" w:type="dxa"/>
            <w:vMerge w:val="continue"/>
            <w:vAlign w:val="center"/>
          </w:tcPr>
          <w:p>
            <w:pPr>
              <w:spacing w:line="300" w:lineRule="exact"/>
              <w:jc w:val="left"/>
              <w:outlineLvl w:val="0"/>
              <w:rPr>
                <w:rFonts w:ascii="Times New Roman" w:eastAsia="方正仿宋_GBK"/>
                <w:color w:val="000000" w:themeColor="text1"/>
                <w:sz w:val="28"/>
                <w14:textFill>
                  <w14:solidFill>
                    <w14:schemeClr w14:val="tx1"/>
                  </w14:solidFill>
                </w14:textFill>
              </w:rPr>
            </w:pPr>
          </w:p>
        </w:tc>
        <w:tc>
          <w:tcPr>
            <w:tcW w:w="1417" w:type="dxa"/>
            <w:vMerge w:val="continue"/>
            <w:vAlign w:val="center"/>
          </w:tcPr>
          <w:p>
            <w:pPr>
              <w:spacing w:line="300" w:lineRule="exact"/>
              <w:jc w:val="left"/>
              <w:outlineLvl w:val="0"/>
              <w:rPr>
                <w:rFonts w:ascii="Times New Roman" w:eastAsia="方正仿宋_GBK"/>
                <w:color w:val="000000" w:themeColor="text1"/>
                <w:sz w:val="28"/>
                <w14:textFill>
                  <w14:solidFill>
                    <w14:schemeClr w14:val="tx1"/>
                  </w14:solidFill>
                </w14:textFill>
              </w:rPr>
            </w:pPr>
          </w:p>
        </w:tc>
        <w:tc>
          <w:tcPr>
            <w:tcW w:w="709" w:type="dxa"/>
            <w:vMerge w:val="continue"/>
            <w:vAlign w:val="center"/>
          </w:tcPr>
          <w:p>
            <w:pPr>
              <w:spacing w:line="300" w:lineRule="exact"/>
              <w:jc w:val="left"/>
              <w:outlineLvl w:val="0"/>
              <w:rPr>
                <w:rFonts w:ascii="Times New Roman" w:eastAsia="方正仿宋_GBK"/>
                <w:color w:val="000000" w:themeColor="text1"/>
                <w:sz w:val="28"/>
                <w14:textFill>
                  <w14:solidFill>
                    <w14:schemeClr w14:val="tx1"/>
                  </w14:solidFill>
                </w14:textFill>
              </w:rPr>
            </w:pPr>
          </w:p>
        </w:tc>
        <w:tc>
          <w:tcPr>
            <w:tcW w:w="851" w:type="dxa"/>
            <w:vMerge w:val="continue"/>
            <w:vAlign w:val="center"/>
          </w:tcPr>
          <w:p>
            <w:pPr>
              <w:spacing w:line="300" w:lineRule="exact"/>
              <w:jc w:val="left"/>
              <w:outlineLvl w:val="0"/>
              <w:rPr>
                <w:rFonts w:ascii="Times New Roman" w:eastAsia="方正仿宋_GBK"/>
                <w:color w:val="000000" w:themeColor="text1"/>
                <w:sz w:val="28"/>
                <w14:textFill>
                  <w14:solidFill>
                    <w14:schemeClr w14:val="tx1"/>
                  </w14:solidFill>
                </w14:textFill>
              </w:rPr>
            </w:pPr>
          </w:p>
        </w:tc>
        <w:tc>
          <w:tcPr>
            <w:tcW w:w="992" w:type="dxa"/>
            <w:vMerge w:val="continue"/>
            <w:vAlign w:val="center"/>
          </w:tcPr>
          <w:p>
            <w:pPr>
              <w:spacing w:line="300" w:lineRule="exact"/>
              <w:jc w:val="left"/>
              <w:outlineLvl w:val="0"/>
              <w:rPr>
                <w:rFonts w:ascii="Times New Roman" w:eastAsia="方正仿宋_GBK"/>
                <w:color w:val="000000" w:themeColor="text1"/>
                <w:sz w:val="28"/>
                <w14:textFill>
                  <w14:solidFill>
                    <w14:schemeClr w14:val="tx1"/>
                  </w14:solidFill>
                </w14:textFill>
              </w:rPr>
            </w:pPr>
          </w:p>
        </w:tc>
        <w:tc>
          <w:tcPr>
            <w:tcW w:w="992"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合计</w:t>
            </w:r>
          </w:p>
        </w:tc>
        <w:tc>
          <w:tcPr>
            <w:tcW w:w="992"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一般公共预算拨款</w:t>
            </w:r>
          </w:p>
        </w:tc>
        <w:tc>
          <w:tcPr>
            <w:tcW w:w="993"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基金预算拨款</w:t>
            </w:r>
          </w:p>
        </w:tc>
        <w:tc>
          <w:tcPr>
            <w:tcW w:w="1134"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国有资本经营预算拨款</w:t>
            </w:r>
          </w:p>
        </w:tc>
        <w:tc>
          <w:tcPr>
            <w:tcW w:w="850"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财政专户核拨</w:t>
            </w:r>
          </w:p>
        </w:tc>
        <w:tc>
          <w:tcPr>
            <w:tcW w:w="893"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3106" w:type="dxa"/>
            <w:vAlign w:val="center"/>
          </w:tcPr>
          <w:p>
            <w:pPr>
              <w:spacing w:line="300" w:lineRule="exact"/>
              <w:jc w:val="center"/>
              <w:rPr>
                <w:rFonts w:ascii="方正书宋_GBK" w:eastAsia="方正书宋_GBK"/>
                <w:b/>
                <w:color w:val="000000" w:themeColor="text1"/>
                <w14:textFill>
                  <w14:solidFill>
                    <w14:schemeClr w14:val="tx1"/>
                  </w14:solidFill>
                </w14:textFill>
              </w:rPr>
            </w:pPr>
            <w:r>
              <w:rPr>
                <w:rFonts w:hint="eastAsia" w:ascii="方正书宋_GBK" w:eastAsia="方正书宋_GBK"/>
                <w:b/>
                <w:color w:val="000000" w:themeColor="text1"/>
                <w14:textFill>
                  <w14:solidFill>
                    <w14:schemeClr w14:val="tx1"/>
                  </w14:solidFill>
                </w14:textFill>
              </w:rPr>
              <w:t>合　计</w:t>
            </w:r>
          </w:p>
        </w:tc>
        <w:tc>
          <w:tcPr>
            <w:tcW w:w="1134"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1559"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1417"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709"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851"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992" w:type="dxa"/>
            <w:vAlign w:val="center"/>
          </w:tcPr>
          <w:p>
            <w:pPr>
              <w:adjustRightInd w:val="0"/>
              <w:snapToGrid w:val="0"/>
              <w:jc w:val="right"/>
              <w:rPr>
                <w:rFonts w:ascii="方正书宋_GBK" w:hAnsi="宋体" w:eastAsia="方正书宋_GBK" w:cs="宋体"/>
                <w:b/>
                <w:bCs/>
                <w:color w:val="000000" w:themeColor="text1"/>
                <w:szCs w:val="21"/>
                <w14:textFill>
                  <w14:solidFill>
                    <w14:schemeClr w14:val="tx1"/>
                  </w14:solidFill>
                </w14:textFill>
              </w:rPr>
            </w:pPr>
          </w:p>
        </w:tc>
        <w:tc>
          <w:tcPr>
            <w:tcW w:w="992" w:type="dxa"/>
            <w:vAlign w:val="center"/>
          </w:tcPr>
          <w:p>
            <w:pPr>
              <w:adjustRightInd w:val="0"/>
              <w:snapToGrid w:val="0"/>
              <w:jc w:val="right"/>
              <w:rPr>
                <w:rFonts w:ascii="方正书宋_GBK" w:hAnsi="宋体" w:eastAsia="方正书宋_GBK" w:cs="宋体"/>
                <w:b/>
                <w:bCs/>
                <w:color w:val="000000" w:themeColor="text1"/>
                <w:szCs w:val="21"/>
                <w14:textFill>
                  <w14:solidFill>
                    <w14:schemeClr w14:val="tx1"/>
                  </w14:solidFill>
                </w14:textFill>
              </w:rPr>
            </w:pPr>
          </w:p>
        </w:tc>
        <w:tc>
          <w:tcPr>
            <w:tcW w:w="993"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850"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893"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3106" w:type="dxa"/>
            <w:vAlign w:val="center"/>
          </w:tcPr>
          <w:p>
            <w:pPr>
              <w:spacing w:line="300" w:lineRule="exact"/>
              <w:jc w:val="center"/>
              <w:rPr>
                <w:rFonts w:ascii="方正书宋_GBK" w:eastAsia="方正书宋_GBK"/>
                <w:b/>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1559"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1417"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709" w:type="dxa"/>
            <w:vAlign w:val="center"/>
          </w:tcPr>
          <w:p>
            <w:pPr>
              <w:spacing w:line="300" w:lineRule="exact"/>
              <w:jc w:val="left"/>
              <w:rPr>
                <w:rFonts w:ascii="方正书宋_GBK" w:eastAsia="方正书宋_GBK"/>
                <w:b/>
                <w:color w:val="000000" w:themeColor="text1"/>
                <w14:textFill>
                  <w14:solidFill>
                    <w14:schemeClr w14:val="tx1"/>
                  </w14:solidFill>
                </w14:textFill>
              </w:rPr>
            </w:pPr>
          </w:p>
        </w:tc>
        <w:tc>
          <w:tcPr>
            <w:tcW w:w="851"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992" w:type="dxa"/>
            <w:vAlign w:val="center"/>
          </w:tcPr>
          <w:p>
            <w:pPr>
              <w:adjustRightInd w:val="0"/>
              <w:snapToGrid w:val="0"/>
              <w:jc w:val="right"/>
              <w:rPr>
                <w:rFonts w:ascii="方正书宋_GBK" w:hAnsi="宋体" w:eastAsia="方正书宋_GBK" w:cs="宋体"/>
                <w:b/>
                <w:bCs/>
                <w:color w:val="000000" w:themeColor="text1"/>
                <w:szCs w:val="21"/>
                <w14:textFill>
                  <w14:solidFill>
                    <w14:schemeClr w14:val="tx1"/>
                  </w14:solidFill>
                </w14:textFill>
              </w:rPr>
            </w:pPr>
          </w:p>
        </w:tc>
        <w:tc>
          <w:tcPr>
            <w:tcW w:w="992" w:type="dxa"/>
            <w:vAlign w:val="center"/>
          </w:tcPr>
          <w:p>
            <w:pPr>
              <w:adjustRightInd w:val="0"/>
              <w:snapToGrid w:val="0"/>
              <w:jc w:val="right"/>
              <w:rPr>
                <w:rFonts w:ascii="方正书宋_GBK" w:hAnsi="宋体" w:eastAsia="方正书宋_GBK" w:cs="宋体"/>
                <w:b/>
                <w:bCs/>
                <w:color w:val="000000" w:themeColor="text1"/>
                <w:szCs w:val="21"/>
                <w14:textFill>
                  <w14:solidFill>
                    <w14:schemeClr w14:val="tx1"/>
                  </w14:solidFill>
                </w14:textFill>
              </w:rPr>
            </w:pPr>
          </w:p>
        </w:tc>
        <w:tc>
          <w:tcPr>
            <w:tcW w:w="993"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850"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c>
          <w:tcPr>
            <w:tcW w:w="893" w:type="dxa"/>
            <w:vAlign w:val="center"/>
          </w:tcPr>
          <w:p>
            <w:pPr>
              <w:spacing w:line="300" w:lineRule="exact"/>
              <w:jc w:val="right"/>
              <w:rPr>
                <w:rFonts w:ascii="方正书宋_GBK" w:eastAsia="方正书宋_GBK"/>
                <w:b/>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3106"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1559"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417"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709"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851"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3"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850"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893" w:type="dxa"/>
            <w:vAlign w:val="center"/>
          </w:tcPr>
          <w:p>
            <w:pPr>
              <w:spacing w:line="300" w:lineRule="exact"/>
              <w:jc w:val="right"/>
              <w:rPr>
                <w:rFonts w:ascii="方正书宋_GBK" w:eastAsia="方正书宋_GBK"/>
                <w:color w:val="000000" w:themeColor="text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3106"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1559"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417"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709"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851"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2"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993"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850" w:type="dxa"/>
            <w:vAlign w:val="center"/>
          </w:tcPr>
          <w:p>
            <w:pPr>
              <w:spacing w:line="300" w:lineRule="exact"/>
              <w:jc w:val="right"/>
              <w:rPr>
                <w:rFonts w:ascii="方正书宋_GBK" w:eastAsia="方正书宋_GBK"/>
                <w:color w:val="000000" w:themeColor="text1"/>
                <w14:textFill>
                  <w14:solidFill>
                    <w14:schemeClr w14:val="tx1"/>
                  </w14:solidFill>
                </w14:textFill>
              </w:rPr>
            </w:pPr>
          </w:p>
        </w:tc>
        <w:tc>
          <w:tcPr>
            <w:tcW w:w="893" w:type="dxa"/>
            <w:vAlign w:val="center"/>
          </w:tcPr>
          <w:p>
            <w:pPr>
              <w:spacing w:line="300" w:lineRule="exact"/>
              <w:jc w:val="right"/>
              <w:rPr>
                <w:rFonts w:ascii="方正书宋_GBK" w:eastAsia="方正书宋_GBK"/>
                <w:color w:val="000000" w:themeColor="text1"/>
                <w14:textFill>
                  <w14:solidFill>
                    <w14:schemeClr w14:val="tx1"/>
                  </w14:solidFill>
                </w14:textFill>
              </w:rPr>
            </w:pPr>
          </w:p>
        </w:tc>
      </w:tr>
    </w:tbl>
    <w:p>
      <w:pPr>
        <w:autoSpaceDE w:val="0"/>
        <w:autoSpaceDN w:val="0"/>
        <w:adjustRightInd w:val="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注：</w:t>
      </w:r>
      <w:r>
        <w:rPr>
          <w:rFonts w:hint="eastAsia" w:ascii="仿宋" w:hAnsi="仿宋" w:eastAsia="仿宋" w:cs="仿宋"/>
          <w:color w:val="000000" w:themeColor="text1"/>
          <w:sz w:val="32"/>
          <w:szCs w:val="32"/>
          <w14:textFill>
            <w14:solidFill>
              <w14:schemeClr w14:val="tx1"/>
            </w14:solidFill>
          </w14:textFill>
        </w:rPr>
        <w:t>本部门无政府采购预算情况，故空表列示</w:t>
      </w:r>
    </w:p>
    <w:p>
      <w:pPr>
        <w:autoSpaceDE w:val="0"/>
        <w:autoSpaceDN w:val="0"/>
        <w:adjustRightInd w:val="0"/>
        <w:ind w:firstLine="640" w:firstLineChars="200"/>
        <w:jc w:val="left"/>
        <w:rPr>
          <w:rFonts w:hint="eastAsia" w:ascii="黑体" w:hAnsi="黑体" w:eastAsia="黑体" w:cs="Times New Roman"/>
          <w:color w:val="000000" w:themeColor="text1"/>
          <w:sz w:val="32"/>
          <w:szCs w:val="32"/>
          <w14:textFill>
            <w14:solidFill>
              <w14:schemeClr w14:val="tx1"/>
            </w14:solidFill>
          </w14:textFill>
        </w:rPr>
      </w:pPr>
    </w:p>
    <w:p>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七、国有资产信息</w:t>
      </w:r>
    </w:p>
    <w:p>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石家庄市藁城区科学技术协会2019</w:t>
      </w:r>
      <w:r>
        <w:rPr>
          <w:rFonts w:ascii="Times New Roman" w:hAnsi="Times New Roman" w:eastAsia="仿宋" w:cs="Times New Roman"/>
          <w:color w:val="000000" w:themeColor="text1"/>
          <w:sz w:val="32"/>
          <w:szCs w:val="32"/>
          <w14:textFill>
            <w14:solidFill>
              <w14:schemeClr w14:val="tx1"/>
            </w14:solidFill>
          </w14:textFill>
        </w:rPr>
        <w:t>年末固定资产金额为</w:t>
      </w:r>
      <w:r>
        <w:rPr>
          <w:rFonts w:hint="eastAsia" w:ascii="Times New Roman" w:hAnsi="Times New Roman" w:eastAsia="仿宋" w:cs="Times New Roman"/>
          <w:color w:val="000000" w:themeColor="text1"/>
          <w:sz w:val="32"/>
          <w:szCs w:val="32"/>
          <w14:textFill>
            <w14:solidFill>
              <w14:schemeClr w14:val="tx1"/>
            </w14:solidFill>
          </w14:textFill>
        </w:rPr>
        <w:t>13.5</w:t>
      </w:r>
      <w:r>
        <w:rPr>
          <w:rFonts w:ascii="Times New Roman" w:hAnsi="Times New Roman" w:eastAsia="仿宋" w:cs="Times New Roman"/>
          <w:color w:val="000000" w:themeColor="text1"/>
          <w:sz w:val="32"/>
          <w:szCs w:val="32"/>
          <w14:textFill>
            <w14:solidFill>
              <w14:schemeClr w14:val="tx1"/>
            </w14:solidFill>
          </w14:textFill>
        </w:rPr>
        <w:t>万元（详见下表），本年度各单位</w:t>
      </w:r>
      <w:r>
        <w:rPr>
          <w:rFonts w:hint="eastAsia" w:ascii="Times New Roman" w:hAnsi="Times New Roman" w:eastAsia="仿宋" w:cs="Times New Roman"/>
          <w:color w:val="000000" w:themeColor="text1"/>
          <w:sz w:val="32"/>
          <w:szCs w:val="32"/>
          <w14:textFill>
            <w14:solidFill>
              <w14:schemeClr w14:val="tx1"/>
            </w14:solidFill>
          </w14:textFill>
        </w:rPr>
        <w:t>（处室）</w:t>
      </w:r>
      <w:r>
        <w:rPr>
          <w:rFonts w:ascii="Times New Roman" w:hAnsi="Times New Roman" w:eastAsia="仿宋" w:cs="Times New Roman"/>
          <w:color w:val="000000" w:themeColor="text1"/>
          <w:sz w:val="32"/>
          <w:szCs w:val="32"/>
          <w14:textFill>
            <w14:solidFill>
              <w14:schemeClr w14:val="tx1"/>
            </w14:solidFill>
          </w14:textFill>
        </w:rPr>
        <w:t>拟购置固定资产</w:t>
      </w:r>
      <w:r>
        <w:rPr>
          <w:rFonts w:hint="eastAsia" w:ascii="Times New Roman" w:hAnsi="Times New Roman" w:eastAsia="仿宋" w:cs="Times New Roman"/>
          <w:color w:val="000000" w:themeColor="text1"/>
          <w:sz w:val="32"/>
          <w:szCs w:val="32"/>
          <w14:textFill>
            <w14:solidFill>
              <w14:schemeClr w14:val="tx1"/>
            </w14:solidFill>
          </w14:textFill>
        </w:rPr>
        <w:t>总额为0</w:t>
      </w:r>
      <w:r>
        <w:rPr>
          <w:rFonts w:ascii="Times New Roman" w:hAnsi="Times New Roman" w:eastAsia="仿宋" w:cs="Times New Roman"/>
          <w:color w:val="000000" w:themeColor="text1"/>
          <w:sz w:val="32"/>
          <w:szCs w:val="32"/>
          <w14:textFill>
            <w14:solidFill>
              <w14:schemeClr w14:val="tx1"/>
            </w14:solidFill>
          </w14:textFill>
        </w:rPr>
        <w:t>万元</w:t>
      </w:r>
      <w:r>
        <w:rPr>
          <w:rFonts w:hint="eastAsia" w:ascii="Times New Roman" w:hAnsi="Times New Roman" w:eastAsia="仿宋" w:cs="Times New Roman"/>
          <w:color w:val="000000" w:themeColor="text1"/>
          <w:sz w:val="32"/>
          <w:szCs w:val="32"/>
          <w14:textFill>
            <w14:solidFill>
              <w14:schemeClr w14:val="tx1"/>
            </w14:solidFill>
          </w14:textFill>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000000" w:themeColor="text1"/>
                <w:kern w:val="0"/>
                <w:sz w:val="32"/>
                <w:szCs w:val="32"/>
                <w14:textFill>
                  <w14:solidFill>
                    <w14:schemeClr w14:val="tx1"/>
                  </w14:solidFill>
                </w14:textFill>
              </w:rPr>
            </w:pPr>
            <w:r>
              <w:rPr>
                <w:rFonts w:hint="eastAsia" w:ascii="宋体" w:hAnsi="宋体" w:cs="宋体"/>
                <w:b/>
                <w:bCs/>
                <w:color w:val="000000" w:themeColor="text1"/>
                <w:kern w:val="0"/>
                <w:sz w:val="32"/>
                <w:szCs w:val="32"/>
                <w14:textFill>
                  <w14:solidFill>
                    <w14:schemeClr w14:val="tx1"/>
                  </w14:solidFill>
                </w14:textFill>
              </w:rPr>
              <w:t>石家庄市藁城区科学技术协会固定资产占用情况表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编制部门</w:t>
            </w:r>
            <w:r>
              <w:rPr>
                <w:rFonts w:hint="eastAsia" w:ascii="Times New Roman" w:hAnsi="Times New Roman" w:eastAsia="仿宋" w:cs="Times New Roman"/>
                <w:color w:val="000000" w:themeColor="text1"/>
                <w:kern w:val="0"/>
                <w:sz w:val="22"/>
                <w14:textFill>
                  <w14:solidFill>
                    <w14:schemeClr w14:val="tx1"/>
                  </w14:solidFill>
                </w14:textFill>
              </w:rPr>
              <w:t>；石家庄市藁城区科学技术协会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截止时间：201</w:t>
            </w:r>
            <w:r>
              <w:rPr>
                <w:rFonts w:hint="eastAsia" w:ascii="Times New Roman" w:hAnsi="Times New Roman" w:eastAsia="仿宋" w:cs="Times New Roman"/>
                <w:color w:val="000000" w:themeColor="text1"/>
                <w:kern w:val="0"/>
                <w:sz w:val="22"/>
                <w14:textFill>
                  <w14:solidFill>
                    <w14:schemeClr w14:val="tx1"/>
                  </w14:solidFill>
                </w14:textFill>
              </w:rPr>
              <w:t>9</w:t>
            </w:r>
            <w:r>
              <w:rPr>
                <w:rFonts w:ascii="Times New Roman" w:hAnsi="Times New Roman" w:eastAsia="仿宋" w:cs="Times New Roman"/>
                <w:color w:val="000000" w:themeColor="text1"/>
                <w:kern w:val="0"/>
                <w:sz w:val="22"/>
                <w14:textFill>
                  <w14:solidFill>
                    <w14:schemeClr w14:val="tx1"/>
                  </w14:solidFill>
                </w14:textFill>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13.5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13.5</w:t>
            </w:r>
          </w:p>
        </w:tc>
      </w:tr>
    </w:tbl>
    <w:p>
      <w:pPr>
        <w:autoSpaceDE w:val="0"/>
        <w:autoSpaceDN w:val="0"/>
        <w:adjustRightInd w:val="0"/>
        <w:ind w:firstLine="640" w:firstLineChars="200"/>
        <w:jc w:val="left"/>
        <w:rPr>
          <w:rFonts w:hint="eastAsia" w:ascii="黑体" w:hAnsi="黑体" w:eastAsia="黑体" w:cs="Times New Roman"/>
          <w:color w:val="000000" w:themeColor="text1"/>
          <w:sz w:val="32"/>
          <w:szCs w:val="32"/>
          <w14:textFill>
            <w14:solidFill>
              <w14:schemeClr w14:val="tx1"/>
            </w14:solidFill>
          </w14:textFill>
        </w:rPr>
      </w:pPr>
    </w:p>
    <w:p>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bookmarkStart w:id="5" w:name="_GoBack"/>
      <w:bookmarkEnd w:id="5"/>
      <w:r>
        <w:rPr>
          <w:rFonts w:hint="eastAsia" w:ascii="黑体" w:hAnsi="黑体" w:eastAsia="黑体" w:cs="Times New Roman"/>
          <w:color w:val="000000" w:themeColor="text1"/>
          <w:sz w:val="32"/>
          <w:szCs w:val="32"/>
          <w14:textFill>
            <w14:solidFill>
              <w14:schemeClr w14:val="tx1"/>
            </w14:solidFill>
          </w14:textFill>
        </w:rPr>
        <w:t>八、名词解释</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1、一般公共预算拨款收入：指区县级财政当年拨付的资金。</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2、事业收入：指事业单位开展专业业务活动及辅助活动所取得的收入。</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4、基本支出：指为保障机构正常运转、完成日常工作任务而发生的人员支出和公用支出。</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5、项目支出：指在基本支出之外为完成特定行政任务和事业发展目标所发生的支出。</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6、上缴上级支出：指下级单位上缴上级的支出。</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9、上年结转：指以前年度尚未完成、结转到本年仍按原规定用途继续使用的资金。</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color w:val="000000" w:themeColor="text1"/>
          <w:sz w:val="32"/>
          <w:szCs w:val="32"/>
          <w14:textFill>
            <w14:solidFill>
              <w14:schemeClr w14:val="tx1"/>
            </w14:solidFill>
          </w14:textFill>
        </w:rPr>
      </w:pPr>
      <w:r>
        <w:rPr>
          <w:rFonts w:hint="eastAsia" w:ascii="宋体-方正超大字符集" w:hAnsi="宋体-方正超大字符集" w:eastAsia="宋体-方正超大字符集" w:cs="宋体-方正超大字符集"/>
          <w:b/>
          <w:bCs/>
          <w:color w:val="000000" w:themeColor="text1"/>
          <w:sz w:val="32"/>
          <w:szCs w:val="32"/>
          <w14:textFill>
            <w14:solidFill>
              <w14:schemeClr w14:val="tx1"/>
            </w14:solidFill>
          </w14:textFill>
        </w:rPr>
        <w:t>九、其他需要说明的事项</w:t>
      </w:r>
    </w:p>
    <w:p>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9</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3D0BEE"/>
    <w:multiLevelType w:val="singleLevel"/>
    <w:tmpl w:val="283D0BEE"/>
    <w:lvl w:ilvl="0" w:tentative="0">
      <w:start w:val="1"/>
      <w:numFmt w:val="chineseCounting"/>
      <w:suff w:val="nothing"/>
      <w:lvlText w:val="（%1）"/>
      <w:lvlJc w:val="left"/>
      <w:rPr>
        <w:rFonts w:hint="eastAsia"/>
      </w:rPr>
    </w:lvl>
  </w:abstractNum>
  <w:abstractNum w:abstractNumId="1">
    <w:nsid w:val="3D82705F"/>
    <w:multiLevelType w:val="singleLevel"/>
    <w:tmpl w:val="3D82705F"/>
    <w:lvl w:ilvl="0" w:tentative="0">
      <w:start w:val="6"/>
      <w:numFmt w:val="chineseCounting"/>
      <w:suff w:val="nothing"/>
      <w:lvlText w:val="%1、"/>
      <w:lvlJc w:val="left"/>
      <w:pPr>
        <w:ind w:left="840" w:leftChars="0" w:firstLine="0" w:firstLineChars="0"/>
      </w:pPr>
      <w:rPr>
        <w:rFonts w:hint="eastAsia"/>
      </w:rPr>
    </w:lvl>
  </w:abstractNum>
  <w:abstractNum w:abstractNumId="2">
    <w:nsid w:val="5C2F9006"/>
    <w:multiLevelType w:val="singleLevel"/>
    <w:tmpl w:val="5C2F9006"/>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4639D"/>
    <w:rsid w:val="0039059E"/>
    <w:rsid w:val="00495173"/>
    <w:rsid w:val="00537A30"/>
    <w:rsid w:val="00723150"/>
    <w:rsid w:val="007F0341"/>
    <w:rsid w:val="009A521C"/>
    <w:rsid w:val="00CE7086"/>
    <w:rsid w:val="00D607DA"/>
    <w:rsid w:val="00DC6EE5"/>
    <w:rsid w:val="00EC17E0"/>
    <w:rsid w:val="00EE71BA"/>
    <w:rsid w:val="00F867E4"/>
    <w:rsid w:val="02A924DD"/>
    <w:rsid w:val="056D17C0"/>
    <w:rsid w:val="084B3FDD"/>
    <w:rsid w:val="0BB674CE"/>
    <w:rsid w:val="0BEB2EB9"/>
    <w:rsid w:val="15840FAE"/>
    <w:rsid w:val="16122698"/>
    <w:rsid w:val="1DB23473"/>
    <w:rsid w:val="222C48FB"/>
    <w:rsid w:val="27AE01A8"/>
    <w:rsid w:val="2D7437EF"/>
    <w:rsid w:val="2F586529"/>
    <w:rsid w:val="33A24410"/>
    <w:rsid w:val="36736618"/>
    <w:rsid w:val="37FD4574"/>
    <w:rsid w:val="3B9D3C29"/>
    <w:rsid w:val="3C1B427E"/>
    <w:rsid w:val="4103684A"/>
    <w:rsid w:val="426C2C86"/>
    <w:rsid w:val="491A31BB"/>
    <w:rsid w:val="4E0A4C15"/>
    <w:rsid w:val="57AA28B3"/>
    <w:rsid w:val="5B771B7B"/>
    <w:rsid w:val="5C164C44"/>
    <w:rsid w:val="5DF869E0"/>
    <w:rsid w:val="60957E69"/>
    <w:rsid w:val="67593E6A"/>
    <w:rsid w:val="6AAB630A"/>
    <w:rsid w:val="70E56987"/>
    <w:rsid w:val="71EB20AE"/>
    <w:rsid w:val="77BA690B"/>
    <w:rsid w:val="79F04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518</Words>
  <Characters>2953</Characters>
  <Lines>24</Lines>
  <Paragraphs>6</Paragraphs>
  <TotalTime>2</TotalTime>
  <ScaleCrop>false</ScaleCrop>
  <LinksUpToDate>false</LinksUpToDate>
  <CharactersWithSpaces>3465</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喼趚嚣張</cp:lastModifiedBy>
  <cp:lastPrinted>2020-01-10T15:53:00Z</cp:lastPrinted>
  <dcterms:modified xsi:type="dcterms:W3CDTF">2021-06-17T12:10:23Z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678F122904C54FC895A4FC3E6308938C</vt:lpwstr>
  </property>
</Properties>
</file>