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p>
    <w:p>
      <w:pPr>
        <w:jc w:val="center"/>
        <w:rPr>
          <w:rFonts w:hint="eastAsia" w:ascii="黑体" w:eastAsia="黑体"/>
          <w:b/>
          <w:sz w:val="72"/>
        </w:rPr>
      </w:pPr>
    </w:p>
    <w:p>
      <w:pPr>
        <w:jc w:val="center"/>
        <w:rPr>
          <w:rFonts w:hint="eastAsia" w:ascii="黑体" w:eastAsia="黑体"/>
          <w:b/>
          <w:sz w:val="52"/>
          <w:szCs w:val="52"/>
        </w:rPr>
      </w:pPr>
      <w:r>
        <w:rPr>
          <w:rFonts w:hint="eastAsia" w:ascii="黑体" w:eastAsia="黑体"/>
          <w:b/>
          <w:sz w:val="52"/>
          <w:szCs w:val="52"/>
        </w:rPr>
        <w:t>20</w:t>
      </w:r>
      <w:r>
        <w:rPr>
          <w:rFonts w:hint="eastAsia" w:ascii="黑体" w:eastAsia="黑体"/>
          <w:b/>
          <w:sz w:val="52"/>
          <w:szCs w:val="52"/>
          <w:lang w:val="en-US" w:eastAsia="zh-CN"/>
        </w:rPr>
        <w:t>20</w:t>
      </w:r>
      <w:r>
        <w:rPr>
          <w:rFonts w:hint="eastAsia" w:ascii="黑体" w:eastAsia="黑体"/>
          <w:b/>
          <w:sz w:val="52"/>
          <w:szCs w:val="52"/>
        </w:rPr>
        <w:t>年石家庄市藁城团区委预算信息公开</w:t>
      </w:r>
    </w:p>
    <w:p>
      <w:pPr>
        <w:jc w:val="center"/>
        <w:rPr>
          <w:rFonts w:hint="eastAsia" w:ascii="黑体" w:eastAsia="黑体"/>
          <w:b/>
          <w:sz w:val="5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rPr>
          <w:rFonts w:hint="eastAsia" w:ascii="黑体" w:eastAsia="黑体"/>
          <w:b/>
          <w:sz w:val="72"/>
        </w:rPr>
      </w:pPr>
    </w:p>
    <w:p>
      <w:pPr>
        <w:jc w:val="center"/>
      </w:pPr>
      <w:r>
        <w:rPr>
          <w:rFonts w:hint="eastAsia" w:ascii="宋体"/>
          <w:b/>
          <w:sz w:val="44"/>
          <w:szCs w:val="44"/>
        </w:rPr>
        <w:t>石家庄市藁城团区委</w:t>
      </w:r>
    </w:p>
    <w:p>
      <w:pPr>
        <w:jc w:val="center"/>
        <w:sectPr>
          <w:headerReference r:id="rId3" w:type="default"/>
          <w:pgSz w:w="11906" w:h="16838"/>
          <w:pgMar w:top="1440" w:right="1800" w:bottom="1440" w:left="1800" w:header="851" w:footer="992" w:gutter="0"/>
          <w:cols w:space="720" w:num="1"/>
          <w:docGrid w:type="lines" w:linePitch="312" w:charSpace="0"/>
        </w:sectPr>
      </w:pPr>
    </w:p>
    <w:p>
      <w:pPr>
        <w:ind w:firstLine="640" w:firstLineChars="200"/>
        <w:jc w:val="left"/>
        <w:rPr>
          <w:rFonts w:hint="eastAsia" w:ascii="仿宋" w:hAnsi="仿宋" w:eastAsia="仿宋"/>
          <w:sz w:val="32"/>
          <w:szCs w:val="32"/>
        </w:rPr>
      </w:pPr>
      <w:r>
        <w:rPr>
          <w:rFonts w:hint="eastAsia" w:ascii="仿宋" w:hAnsi="仿宋" w:eastAsia="仿宋"/>
          <w:sz w:val="32"/>
          <w:szCs w:val="32"/>
        </w:rPr>
        <w:t>按照《预算法》规定，现将石家庄市藁城团区委20</w:t>
      </w:r>
      <w:r>
        <w:rPr>
          <w:rFonts w:hint="eastAsia" w:ascii="仿宋" w:hAnsi="仿宋" w:eastAsia="仿宋"/>
          <w:sz w:val="32"/>
          <w:szCs w:val="32"/>
          <w:lang w:val="en-US" w:eastAsia="zh-CN"/>
        </w:rPr>
        <w:t>20</w:t>
      </w:r>
      <w:r>
        <w:rPr>
          <w:rFonts w:hint="eastAsia" w:ascii="仿宋" w:hAnsi="仿宋" w:eastAsia="仿宋"/>
          <w:sz w:val="32"/>
          <w:szCs w:val="32"/>
        </w:rPr>
        <w:t>年部门预算信息公开如下:</w:t>
      </w:r>
    </w:p>
    <w:p>
      <w:pPr>
        <w:ind w:firstLine="640" w:firstLineChars="200"/>
        <w:jc w:val="left"/>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部门职责及机构设置情况</w:t>
      </w:r>
    </w:p>
    <w:p>
      <w:pPr>
        <w:ind w:firstLine="643" w:firstLineChars="200"/>
        <w:jc w:val="left"/>
        <w:rPr>
          <w:rFonts w:hint="eastAsia" w:ascii="仿宋" w:hAnsi="仿宋" w:eastAsia="仿宋"/>
          <w:sz w:val="32"/>
          <w:szCs w:val="32"/>
        </w:rPr>
      </w:pPr>
      <w:r>
        <w:rPr>
          <w:rFonts w:hint="eastAsia" w:ascii="仿宋" w:hAnsi="仿宋" w:eastAsia="仿宋"/>
          <w:b/>
          <w:bCs/>
          <w:sz w:val="32"/>
          <w:szCs w:val="32"/>
          <w:lang w:val="en-US" w:eastAsia="zh-CN"/>
        </w:rPr>
        <w:t>部门职责：</w:t>
      </w:r>
      <w:r>
        <w:rPr>
          <w:rFonts w:hint="eastAsia" w:ascii="仿宋" w:hAnsi="仿宋" w:eastAsia="仿宋"/>
          <w:b/>
          <w:bCs/>
          <w:sz w:val="32"/>
          <w:szCs w:val="32"/>
        </w:rPr>
        <w:t> </w:t>
      </w:r>
      <w:r>
        <w:rPr>
          <w:rFonts w:hint="eastAsia" w:ascii="仿宋" w:hAnsi="仿宋" w:eastAsia="仿宋"/>
          <w:sz w:val="32"/>
          <w:szCs w:val="32"/>
        </w:rPr>
        <w:t>共青团</w:t>
      </w:r>
      <w:r>
        <w:rPr>
          <w:rFonts w:hint="eastAsia" w:ascii="仿宋" w:hAnsi="仿宋" w:eastAsia="仿宋"/>
          <w:sz w:val="32"/>
          <w:szCs w:val="32"/>
          <w:lang w:val="en-US" w:eastAsia="zh-CN"/>
        </w:rPr>
        <w:t>藁城区委</w:t>
      </w:r>
      <w:r>
        <w:rPr>
          <w:rFonts w:hint="eastAsia" w:ascii="仿宋" w:hAnsi="仿宋" w:eastAsia="仿宋"/>
          <w:sz w:val="32"/>
          <w:szCs w:val="32"/>
        </w:rPr>
        <w:t>是</w:t>
      </w:r>
      <w:r>
        <w:rPr>
          <w:rFonts w:hint="eastAsia" w:ascii="仿宋" w:hAnsi="仿宋" w:eastAsia="仿宋"/>
          <w:sz w:val="32"/>
          <w:szCs w:val="32"/>
          <w:lang w:val="en-US" w:eastAsia="zh-CN"/>
        </w:rPr>
        <w:t>藁城区</w:t>
      </w:r>
      <w:r>
        <w:rPr>
          <w:rFonts w:hint="eastAsia" w:ascii="仿宋" w:hAnsi="仿宋" w:eastAsia="仿宋"/>
          <w:sz w:val="32"/>
          <w:szCs w:val="32"/>
        </w:rPr>
        <w:t>共青团组织的领导机关。主要职责是：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sz w:val="32"/>
          <w:szCs w:val="32"/>
        </w:rPr>
        <w:t>组织领导全</w:t>
      </w:r>
      <w:r>
        <w:rPr>
          <w:rFonts w:hint="eastAsia" w:ascii="仿宋" w:hAnsi="仿宋" w:eastAsia="仿宋"/>
          <w:sz w:val="32"/>
          <w:szCs w:val="32"/>
          <w:lang w:val="en-US" w:eastAsia="zh-CN"/>
        </w:rPr>
        <w:t>区</w:t>
      </w:r>
      <w:r>
        <w:rPr>
          <w:rFonts w:hint="eastAsia" w:ascii="仿宋" w:hAnsi="仿宋" w:eastAsia="仿宋"/>
          <w:sz w:val="32"/>
          <w:szCs w:val="32"/>
        </w:rPr>
        <w:t>共青团工作。以党的基本路线、方针、政策为指导，按照</w:t>
      </w:r>
      <w:r>
        <w:rPr>
          <w:rFonts w:hint="eastAsia" w:ascii="仿宋" w:hAnsi="仿宋" w:eastAsia="仿宋"/>
          <w:sz w:val="32"/>
          <w:szCs w:val="32"/>
          <w:lang w:val="en-US" w:eastAsia="zh-CN"/>
        </w:rPr>
        <w:t>区</w:t>
      </w:r>
      <w:r>
        <w:rPr>
          <w:rFonts w:hint="eastAsia" w:ascii="仿宋" w:hAnsi="仿宋" w:eastAsia="仿宋"/>
          <w:sz w:val="32"/>
          <w:szCs w:val="32"/>
        </w:rPr>
        <w:t>委和上级团委的要求，拟定全</w:t>
      </w:r>
      <w:r>
        <w:rPr>
          <w:rFonts w:hint="eastAsia" w:ascii="仿宋" w:hAnsi="仿宋" w:eastAsia="仿宋"/>
          <w:sz w:val="32"/>
          <w:szCs w:val="32"/>
          <w:lang w:val="en-US" w:eastAsia="zh-CN"/>
        </w:rPr>
        <w:t>区</w:t>
      </w:r>
      <w:r>
        <w:rPr>
          <w:rFonts w:hint="eastAsia" w:ascii="仿宋" w:hAnsi="仿宋" w:eastAsia="仿宋"/>
          <w:sz w:val="32"/>
          <w:szCs w:val="32"/>
        </w:rPr>
        <w:t>共青团工作计划，指导协调全</w:t>
      </w:r>
      <w:r>
        <w:rPr>
          <w:rFonts w:hint="eastAsia" w:ascii="仿宋" w:hAnsi="仿宋" w:eastAsia="仿宋"/>
          <w:sz w:val="32"/>
          <w:szCs w:val="32"/>
          <w:lang w:val="en-US" w:eastAsia="zh-CN"/>
        </w:rPr>
        <w:t>区</w:t>
      </w:r>
      <w:r>
        <w:rPr>
          <w:rFonts w:hint="eastAsia" w:ascii="仿宋" w:hAnsi="仿宋" w:eastAsia="仿宋"/>
          <w:sz w:val="32"/>
          <w:szCs w:val="32"/>
        </w:rPr>
        <w:t>团的工作，并带领基层团委开展好工作，切实加强团的自身建设。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（二）</w:t>
      </w:r>
      <w:r>
        <w:rPr>
          <w:rFonts w:hint="eastAsia" w:ascii="仿宋" w:hAnsi="仿宋" w:eastAsia="仿宋"/>
          <w:sz w:val="32"/>
          <w:szCs w:val="32"/>
        </w:rPr>
        <w:t>围绕</w:t>
      </w:r>
      <w:r>
        <w:rPr>
          <w:rFonts w:hint="eastAsia" w:ascii="仿宋" w:hAnsi="仿宋" w:eastAsia="仿宋"/>
          <w:sz w:val="32"/>
          <w:szCs w:val="32"/>
          <w:lang w:val="en-US" w:eastAsia="zh-CN"/>
        </w:rPr>
        <w:t>区</w:t>
      </w:r>
      <w:r>
        <w:rPr>
          <w:rFonts w:hint="eastAsia" w:ascii="仿宋" w:hAnsi="仿宋" w:eastAsia="仿宋"/>
          <w:sz w:val="32"/>
          <w:szCs w:val="32"/>
        </w:rPr>
        <w:t>委的中心工作，团结和带领全</w:t>
      </w:r>
      <w:r>
        <w:rPr>
          <w:rFonts w:hint="eastAsia" w:ascii="仿宋" w:hAnsi="仿宋" w:eastAsia="仿宋"/>
          <w:sz w:val="32"/>
          <w:szCs w:val="32"/>
          <w:lang w:val="en-US" w:eastAsia="zh-CN"/>
        </w:rPr>
        <w:t>区</w:t>
      </w:r>
      <w:r>
        <w:rPr>
          <w:rFonts w:hint="eastAsia" w:ascii="仿宋" w:hAnsi="仿宋" w:eastAsia="仿宋"/>
          <w:sz w:val="32"/>
          <w:szCs w:val="32"/>
        </w:rPr>
        <w:t>团员青年发扬“党有号召、团有行动”的光荣传统，积极投身经济建设，积极完成党组织交给的各项任务。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竭诚为青少年服务。充分发挥共青团引导青年、组织青年、服务青年、维护青少年合法权益以及“全团带队” 职能。当好党联系青少年的桥梁和纽带，根据青少年学习、工作、生活等方面的要求，组织构建社会化服务体系，协调处理与青少年利益相关的事务，为青少年的成长成才创造良好的环境。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切实加强和改进青少年思想政治工作</w:t>
      </w:r>
      <w:r>
        <w:rPr>
          <w:rFonts w:hint="eastAsia" w:ascii="仿宋" w:hAnsi="仿宋" w:eastAsia="仿宋"/>
          <w:sz w:val="32"/>
          <w:szCs w:val="32"/>
          <w:lang w:eastAsia="zh-CN"/>
        </w:rPr>
        <w:t>。</w:t>
      </w:r>
      <w:r>
        <w:rPr>
          <w:rFonts w:hint="eastAsia" w:ascii="仿宋" w:hAnsi="仿宋" w:eastAsia="仿宋"/>
          <w:sz w:val="32"/>
          <w:szCs w:val="32"/>
        </w:rPr>
        <w:t>组织开展适合青少年特点的各类爱国主义、集体主义和社会主义思想教育活动，着力提高广大青少年的思想道德素质。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（五）</w:t>
      </w:r>
      <w:r>
        <w:rPr>
          <w:rFonts w:hint="eastAsia" w:ascii="仿宋" w:hAnsi="仿宋" w:eastAsia="仿宋"/>
          <w:sz w:val="32"/>
          <w:szCs w:val="32"/>
        </w:rPr>
        <w:t>参与青少年政策的制定和实施。调查研究青少年思想动态和青少年工作情况，积极参与全</w:t>
      </w:r>
      <w:r>
        <w:rPr>
          <w:rFonts w:hint="eastAsia" w:ascii="仿宋" w:hAnsi="仿宋" w:eastAsia="仿宋"/>
          <w:sz w:val="32"/>
          <w:szCs w:val="32"/>
          <w:lang w:val="en-US" w:eastAsia="zh-CN"/>
        </w:rPr>
        <w:t>区</w:t>
      </w:r>
      <w:r>
        <w:rPr>
          <w:rFonts w:hint="eastAsia" w:ascii="仿宋" w:hAnsi="仿宋" w:eastAsia="仿宋"/>
          <w:sz w:val="32"/>
          <w:szCs w:val="32"/>
        </w:rPr>
        <w:t>有关的青少年工作事务，参与民主管理和民主监督。协助、参与、处理社会上与青少年利益相关的工作。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（六）</w:t>
      </w:r>
      <w:r>
        <w:rPr>
          <w:rFonts w:hint="eastAsia" w:ascii="仿宋" w:hAnsi="仿宋" w:eastAsia="仿宋"/>
          <w:sz w:val="32"/>
          <w:szCs w:val="32"/>
        </w:rPr>
        <w:t>在全</w:t>
      </w:r>
      <w:r>
        <w:rPr>
          <w:rFonts w:hint="eastAsia" w:ascii="仿宋" w:hAnsi="仿宋" w:eastAsia="仿宋"/>
          <w:sz w:val="32"/>
          <w:szCs w:val="32"/>
          <w:lang w:val="en-US" w:eastAsia="zh-CN"/>
        </w:rPr>
        <w:t>区</w:t>
      </w:r>
      <w:r>
        <w:rPr>
          <w:rFonts w:hint="eastAsia" w:ascii="仿宋" w:hAnsi="仿宋" w:eastAsia="仿宋"/>
          <w:sz w:val="32"/>
          <w:szCs w:val="32"/>
        </w:rPr>
        <w:t>经济建设中，实施青年文明工程和青年</w:t>
      </w:r>
      <w:r>
        <w:rPr>
          <w:rFonts w:hint="eastAsia" w:ascii="仿宋" w:hAnsi="仿宋" w:eastAsia="仿宋"/>
          <w:sz w:val="32"/>
          <w:szCs w:val="32"/>
          <w:lang w:val="en-US" w:eastAsia="zh-CN"/>
        </w:rPr>
        <w:t>创新创业</w:t>
      </w:r>
      <w:r>
        <w:rPr>
          <w:rFonts w:hint="eastAsia" w:ascii="仿宋" w:hAnsi="仿宋" w:eastAsia="仿宋"/>
          <w:sz w:val="32"/>
          <w:szCs w:val="32"/>
        </w:rPr>
        <w:t>工程，</w:t>
      </w:r>
      <w:r>
        <w:rPr>
          <w:rFonts w:hint="eastAsia" w:ascii="仿宋" w:hAnsi="仿宋" w:eastAsia="仿宋"/>
          <w:sz w:val="32"/>
          <w:szCs w:val="32"/>
          <w:lang w:val="en-US" w:eastAsia="zh-CN"/>
        </w:rPr>
        <w:t>结合青年中心建设，</w:t>
      </w:r>
      <w:r>
        <w:rPr>
          <w:rFonts w:hint="eastAsia" w:ascii="仿宋" w:hAnsi="仿宋" w:eastAsia="仿宋"/>
          <w:sz w:val="32"/>
          <w:szCs w:val="32"/>
        </w:rPr>
        <w:t>大力扶持青年就业创业，积极开展农村劳动技能、职业技能培训，组织和带领团员青年发挥主力军突击队作用。 </w:t>
      </w:r>
    </w:p>
    <w:p>
      <w:pPr>
        <w:numPr>
          <w:ilvl w:val="0"/>
          <w:numId w:val="0"/>
        </w:numPr>
        <w:ind w:firstLine="640" w:firstLineChars="200"/>
        <w:jc w:val="left"/>
        <w:rPr>
          <w:rFonts w:hint="eastAsia" w:ascii="仿宋" w:hAnsi="仿宋" w:eastAsia="仿宋"/>
          <w:sz w:val="32"/>
          <w:szCs w:val="32"/>
        </w:rPr>
      </w:pPr>
      <w:r>
        <w:rPr>
          <w:rFonts w:hint="eastAsia" w:ascii="仿宋" w:hAnsi="仿宋" w:eastAsia="仿宋"/>
          <w:sz w:val="32"/>
          <w:szCs w:val="32"/>
          <w:lang w:eastAsia="zh-CN"/>
        </w:rPr>
        <w:t>（七）</w:t>
      </w:r>
      <w:r>
        <w:rPr>
          <w:rFonts w:hint="eastAsia" w:ascii="仿宋" w:hAnsi="仿宋" w:eastAsia="仿宋"/>
          <w:sz w:val="32"/>
          <w:szCs w:val="32"/>
        </w:rPr>
        <w:t>掌握全</w:t>
      </w:r>
      <w:r>
        <w:rPr>
          <w:rFonts w:hint="eastAsia" w:ascii="仿宋" w:hAnsi="仿宋" w:eastAsia="仿宋"/>
          <w:sz w:val="32"/>
          <w:szCs w:val="32"/>
          <w:lang w:val="en-US" w:eastAsia="zh-CN"/>
        </w:rPr>
        <w:t>区</w:t>
      </w:r>
      <w:r>
        <w:rPr>
          <w:rFonts w:hint="eastAsia" w:ascii="仿宋" w:hAnsi="仿宋" w:eastAsia="仿宋"/>
          <w:sz w:val="32"/>
          <w:szCs w:val="32"/>
        </w:rPr>
        <w:t>志愿者的思想动态和工作状况，做好全</w:t>
      </w:r>
      <w:r>
        <w:rPr>
          <w:rFonts w:hint="eastAsia" w:ascii="仿宋" w:hAnsi="仿宋" w:eastAsia="仿宋"/>
          <w:sz w:val="32"/>
          <w:szCs w:val="32"/>
          <w:lang w:val="en-US" w:eastAsia="zh-CN"/>
        </w:rPr>
        <w:t>区</w:t>
      </w:r>
      <w:r>
        <w:rPr>
          <w:rFonts w:hint="eastAsia" w:ascii="仿宋" w:hAnsi="仿宋" w:eastAsia="仿宋"/>
          <w:sz w:val="32"/>
          <w:szCs w:val="32"/>
        </w:rPr>
        <w:t>志愿</w:t>
      </w:r>
      <w:bookmarkStart w:id="2" w:name="_GoBack"/>
      <w:bookmarkEnd w:id="2"/>
      <w:r>
        <w:rPr>
          <w:rFonts w:hint="eastAsia" w:ascii="仿宋" w:hAnsi="仿宋" w:eastAsia="仿宋"/>
          <w:sz w:val="32"/>
          <w:szCs w:val="32"/>
        </w:rPr>
        <w:t>者活动和管理工作。 </w:t>
      </w:r>
    </w:p>
    <w:p>
      <w:pPr>
        <w:numPr>
          <w:ilvl w:val="0"/>
          <w:numId w:val="0"/>
        </w:numPr>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eastAsia="zh-CN"/>
        </w:rPr>
        <w:t>（八）</w:t>
      </w:r>
      <w:r>
        <w:rPr>
          <w:rFonts w:hint="eastAsia" w:ascii="仿宋" w:hAnsi="仿宋" w:eastAsia="仿宋"/>
          <w:sz w:val="32"/>
          <w:szCs w:val="32"/>
        </w:rPr>
        <w:t>承办</w:t>
      </w:r>
      <w:r>
        <w:rPr>
          <w:rFonts w:hint="eastAsia" w:ascii="仿宋" w:hAnsi="仿宋" w:eastAsia="仿宋"/>
          <w:sz w:val="32"/>
          <w:szCs w:val="32"/>
          <w:lang w:val="en-US" w:eastAsia="zh-CN"/>
        </w:rPr>
        <w:t>区</w:t>
      </w:r>
      <w:r>
        <w:rPr>
          <w:rFonts w:hint="eastAsia" w:ascii="仿宋" w:hAnsi="仿宋" w:eastAsia="仿宋"/>
          <w:sz w:val="32"/>
          <w:szCs w:val="32"/>
        </w:rPr>
        <w:t>委、</w:t>
      </w:r>
      <w:r>
        <w:rPr>
          <w:rFonts w:hint="eastAsia" w:ascii="仿宋" w:hAnsi="仿宋" w:eastAsia="仿宋"/>
          <w:sz w:val="32"/>
          <w:szCs w:val="32"/>
          <w:lang w:val="en-US" w:eastAsia="zh-CN"/>
        </w:rPr>
        <w:t>区</w:t>
      </w:r>
      <w:r>
        <w:rPr>
          <w:rFonts w:hint="eastAsia" w:ascii="仿宋" w:hAnsi="仿宋" w:eastAsia="仿宋"/>
          <w:sz w:val="32"/>
          <w:szCs w:val="32"/>
        </w:rPr>
        <w:t>政府、团市委交办的事项。 </w:t>
      </w:r>
    </w:p>
    <w:p>
      <w:pPr>
        <w:numPr>
          <w:ilvl w:val="0"/>
          <w:numId w:val="0"/>
        </w:numPr>
        <w:ind w:firstLine="643" w:firstLineChars="200"/>
        <w:jc w:val="left"/>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机构设置：</w:t>
      </w:r>
    </w:p>
    <w:tbl>
      <w:tblPr>
        <w:tblStyle w:val="7"/>
        <w:tblW w:w="96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48"/>
        <w:gridCol w:w="1479"/>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1" w:hRule="atLeast"/>
          <w:tblHeader/>
          <w:jc w:val="center"/>
        </w:trPr>
        <w:tc>
          <w:tcPr>
            <w:tcW w:w="4248" w:type="dxa"/>
            <w:noWrap w:val="0"/>
            <w:vAlign w:val="center"/>
          </w:tcPr>
          <w:p>
            <w:pPr>
              <w:spacing w:line="300" w:lineRule="exact"/>
              <w:jc w:val="center"/>
              <w:rPr>
                <w:rFonts w:hint="eastAsia" w:ascii="Times New Roman" w:hAnsi="Times New Roman" w:eastAsia="方正书宋_GBK" w:cs="Times New Roman"/>
                <w:b/>
                <w:bCs/>
                <w:szCs w:val="24"/>
                <w:lang w:eastAsia="zh-CN"/>
              </w:rPr>
            </w:pPr>
            <w:r>
              <w:rPr>
                <w:rFonts w:hint="eastAsia" w:ascii="Times New Roman" w:hAnsi="Times New Roman" w:eastAsia="方正书宋_GBK" w:cs="Times New Roman"/>
                <w:b/>
                <w:bCs/>
                <w:szCs w:val="24"/>
                <w:lang w:eastAsia="zh-CN"/>
              </w:rPr>
              <w:t>单位名称</w:t>
            </w:r>
          </w:p>
        </w:tc>
        <w:tc>
          <w:tcPr>
            <w:tcW w:w="1479" w:type="dxa"/>
            <w:noWrap w:val="0"/>
            <w:vAlign w:val="center"/>
          </w:tcPr>
          <w:p>
            <w:pPr>
              <w:spacing w:line="300" w:lineRule="exact"/>
              <w:jc w:val="center"/>
              <w:rPr>
                <w:rFonts w:hint="eastAsia" w:ascii="Times New Roman" w:hAnsi="Times New Roman" w:eastAsia="方正书宋_GBK" w:cs="Times New Roman"/>
                <w:b/>
                <w:bCs/>
                <w:szCs w:val="24"/>
                <w:lang w:eastAsia="zh-CN"/>
              </w:rPr>
            </w:pPr>
            <w:r>
              <w:rPr>
                <w:rFonts w:hint="eastAsia" w:ascii="Times New Roman" w:hAnsi="Times New Roman" w:eastAsia="方正书宋_GBK" w:cs="Times New Roman"/>
                <w:b/>
                <w:bCs/>
                <w:szCs w:val="24"/>
                <w:lang w:eastAsia="zh-CN"/>
              </w:rPr>
              <w:t>单位性质</w:t>
            </w:r>
          </w:p>
        </w:tc>
        <w:tc>
          <w:tcPr>
            <w:tcW w:w="1248" w:type="dxa"/>
            <w:noWrap w:val="0"/>
            <w:vAlign w:val="center"/>
          </w:tcPr>
          <w:p>
            <w:pPr>
              <w:spacing w:line="300" w:lineRule="exact"/>
              <w:jc w:val="center"/>
              <w:rPr>
                <w:rFonts w:hint="eastAsia" w:ascii="Times New Roman" w:hAnsi="Times New Roman" w:eastAsia="方正书宋_GBK" w:cs="Times New Roman"/>
                <w:b/>
                <w:bCs/>
                <w:szCs w:val="24"/>
                <w:lang w:eastAsia="zh-CN"/>
              </w:rPr>
            </w:pPr>
            <w:r>
              <w:rPr>
                <w:rFonts w:hint="eastAsia" w:ascii="Times New Roman" w:hAnsi="Times New Roman" w:eastAsia="方正书宋_GBK" w:cs="Times New Roman"/>
                <w:b/>
                <w:bCs/>
                <w:szCs w:val="24"/>
                <w:lang w:eastAsia="zh-CN"/>
              </w:rPr>
              <w:t>单位规格</w:t>
            </w:r>
          </w:p>
        </w:tc>
        <w:tc>
          <w:tcPr>
            <w:tcW w:w="2721" w:type="dxa"/>
            <w:noWrap w:val="0"/>
            <w:vAlign w:val="center"/>
          </w:tcPr>
          <w:p>
            <w:pPr>
              <w:spacing w:line="300" w:lineRule="exact"/>
              <w:jc w:val="center"/>
              <w:rPr>
                <w:rFonts w:hint="eastAsia" w:ascii="Times New Roman" w:hAnsi="Times New Roman" w:eastAsia="方正书宋_GBK" w:cs="Times New Roman"/>
                <w:b/>
                <w:bCs/>
                <w:szCs w:val="24"/>
                <w:lang w:eastAsia="zh-CN"/>
              </w:rPr>
            </w:pPr>
            <w:r>
              <w:rPr>
                <w:rFonts w:hint="eastAsia" w:ascii="Times New Roman" w:hAnsi="Times New Roman" w:eastAsia="方正书宋_GBK" w:cs="Times New Roman"/>
                <w:b/>
                <w:bCs/>
                <w:szCs w:val="24"/>
                <w:lang w:eastAsia="zh-C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16" w:hRule="atLeast"/>
          <w:jc w:val="center"/>
        </w:trPr>
        <w:tc>
          <w:tcPr>
            <w:tcW w:w="4248" w:type="dxa"/>
            <w:noWrap w:val="0"/>
            <w:vAlign w:val="center"/>
          </w:tcPr>
          <w:p>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中国共产主义青年团石家庄市藁城区委员会</w:t>
            </w:r>
          </w:p>
        </w:tc>
        <w:tc>
          <w:tcPr>
            <w:tcW w:w="1479" w:type="dxa"/>
            <w:noWrap w:val="0"/>
            <w:vAlign w:val="center"/>
          </w:tcPr>
          <w:p>
            <w:pPr>
              <w:spacing w:line="300" w:lineRule="exact"/>
              <w:jc w:val="center"/>
              <w:rPr>
                <w:rFonts w:hint="eastAsia" w:ascii="Times New Roman" w:hAnsi="Times New Roman" w:eastAsia="方正书宋_GBK" w:cs="Times New Roman"/>
                <w:szCs w:val="24"/>
                <w:lang w:eastAsia="zh-CN"/>
              </w:rPr>
            </w:pPr>
            <w:r>
              <w:rPr>
                <w:rFonts w:hint="eastAsia" w:eastAsia="方正书宋_GBK" w:cs="Times New Roman"/>
                <w:szCs w:val="24"/>
                <w:lang w:val="en-US" w:eastAsia="zh-CN"/>
              </w:rPr>
              <w:t>行政机关</w:t>
            </w:r>
          </w:p>
        </w:tc>
        <w:tc>
          <w:tcPr>
            <w:tcW w:w="1248" w:type="dxa"/>
            <w:noWrap w:val="0"/>
            <w:vAlign w:val="center"/>
          </w:tcPr>
          <w:p>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正科级</w:t>
            </w:r>
          </w:p>
        </w:tc>
        <w:tc>
          <w:tcPr>
            <w:tcW w:w="2721" w:type="dxa"/>
            <w:noWrap w:val="0"/>
            <w:vAlign w:val="center"/>
          </w:tcPr>
          <w:p>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财政</w:t>
            </w:r>
            <w:r>
              <w:rPr>
                <w:rFonts w:hint="eastAsia" w:eastAsia="方正书宋_GBK" w:cs="Times New Roman"/>
                <w:szCs w:val="24"/>
                <w:lang w:eastAsia="zh-CN"/>
              </w:rPr>
              <w:t>拨款</w:t>
            </w:r>
          </w:p>
        </w:tc>
      </w:tr>
    </w:tbl>
    <w:p>
      <w:pPr>
        <w:ind w:firstLine="640" w:firstLineChars="200"/>
        <w:jc w:val="left"/>
        <w:outlineLvl w:val="0"/>
        <w:rPr>
          <w:rFonts w:hint="eastAsia" w:ascii="黑体" w:hAnsi="黑体" w:eastAsia="黑体" w:cs="黑体"/>
          <w:sz w:val="32"/>
          <w:szCs w:val="32"/>
        </w:rPr>
      </w:pPr>
      <w:r>
        <w:rPr>
          <w:rFonts w:hint="eastAsia" w:ascii="黑体" w:hAnsi="黑体" w:eastAsia="黑体" w:cs="黑体"/>
          <w:sz w:val="32"/>
          <w:szCs w:val="32"/>
        </w:rPr>
        <w:t>二、部门预算总体情况</w:t>
      </w:r>
    </w:p>
    <w:p>
      <w:pPr>
        <w:ind w:firstLine="640" w:firstLineChars="200"/>
        <w:jc w:val="left"/>
        <w:outlineLvl w:val="0"/>
        <w:rPr>
          <w:rFonts w:hint="eastAsia" w:ascii="仿宋" w:hAnsi="仿宋" w:eastAsia="仿宋"/>
          <w:sz w:val="32"/>
          <w:szCs w:val="32"/>
        </w:rPr>
      </w:pPr>
      <w:r>
        <w:rPr>
          <w:rFonts w:hint="eastAsia" w:ascii="仿宋" w:hAnsi="仿宋" w:eastAsia="仿宋"/>
          <w:sz w:val="32"/>
          <w:szCs w:val="32"/>
        </w:rPr>
        <w:t>按照预算管理有关规定，目前我区部门预算的编制实行综合预算制度，即全部收入和支出都反映的预算中。石家庄市藁城团区委的收支包含在部门预算中。</w:t>
      </w:r>
    </w:p>
    <w:p>
      <w:pPr>
        <w:ind w:firstLine="720"/>
        <w:jc w:val="left"/>
        <w:outlineLvl w:val="0"/>
        <w:rPr>
          <w:rFonts w:hint="eastAsia" w:ascii="仿宋" w:hAnsi="仿宋" w:eastAsia="仿宋"/>
          <w:sz w:val="32"/>
          <w:szCs w:val="32"/>
        </w:rPr>
      </w:pPr>
      <w:r>
        <w:rPr>
          <w:rFonts w:hint="eastAsia" w:ascii="仿宋" w:hAnsi="仿宋" w:eastAsia="仿宋"/>
          <w:sz w:val="32"/>
          <w:szCs w:val="32"/>
        </w:rPr>
        <w:t>1.收入说明</w:t>
      </w:r>
    </w:p>
    <w:p>
      <w:pPr>
        <w:ind w:firstLine="720"/>
        <w:jc w:val="left"/>
        <w:outlineLvl w:val="0"/>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sz w:val="32"/>
          <w:szCs w:val="32"/>
          <w:lang w:val="en-US" w:eastAsia="zh-CN"/>
        </w:rPr>
        <w:t>020</w:t>
      </w:r>
      <w:r>
        <w:rPr>
          <w:rFonts w:hint="eastAsia" w:ascii="仿宋" w:hAnsi="仿宋" w:eastAsia="仿宋"/>
          <w:sz w:val="32"/>
          <w:szCs w:val="32"/>
        </w:rPr>
        <w:t>年预算收入</w:t>
      </w:r>
      <w:r>
        <w:rPr>
          <w:rFonts w:hint="eastAsia" w:ascii="仿宋" w:hAnsi="仿宋" w:eastAsia="仿宋"/>
          <w:sz w:val="32"/>
          <w:szCs w:val="32"/>
          <w:lang w:val="en-US" w:eastAsia="zh-CN"/>
        </w:rPr>
        <w:t>101.01</w:t>
      </w:r>
      <w:r>
        <w:rPr>
          <w:rFonts w:hint="eastAsia" w:ascii="仿宋" w:hAnsi="仿宋" w:eastAsia="仿宋"/>
          <w:sz w:val="32"/>
          <w:szCs w:val="32"/>
        </w:rPr>
        <w:t>万元，其中：一般公共预算收入</w:t>
      </w:r>
      <w:r>
        <w:rPr>
          <w:rFonts w:hint="eastAsia" w:ascii="仿宋" w:hAnsi="仿宋" w:eastAsia="仿宋"/>
          <w:sz w:val="32"/>
          <w:szCs w:val="32"/>
          <w:lang w:val="en-US" w:eastAsia="zh-CN"/>
        </w:rPr>
        <w:t>101.01</w:t>
      </w:r>
      <w:r>
        <w:rPr>
          <w:rFonts w:hint="eastAsia" w:ascii="仿宋" w:hAnsi="仿宋" w:eastAsia="仿宋"/>
          <w:sz w:val="32"/>
          <w:szCs w:val="32"/>
        </w:rPr>
        <w:t>万元，</w:t>
      </w:r>
      <w:r>
        <w:rPr>
          <w:rFonts w:hint="eastAsia" w:ascii="仿宋" w:hAnsi="仿宋" w:eastAsia="仿宋"/>
          <w:sz w:val="32"/>
          <w:szCs w:val="32"/>
          <w:lang w:eastAsia="zh-CN"/>
        </w:rPr>
        <w:t>政府性基金收入0万元，财政专户核拨收入0万元，其他来源收入0万元</w:t>
      </w:r>
      <w:r>
        <w:rPr>
          <w:rFonts w:hint="eastAsia" w:ascii="仿宋" w:hAnsi="仿宋" w:eastAsia="仿宋"/>
          <w:sz w:val="32"/>
          <w:szCs w:val="32"/>
        </w:rPr>
        <w:t>。</w:t>
      </w:r>
    </w:p>
    <w:p>
      <w:pPr>
        <w:ind w:firstLine="720"/>
        <w:jc w:val="left"/>
        <w:outlineLvl w:val="0"/>
        <w:rPr>
          <w:rFonts w:hint="eastAsia" w:ascii="仿宋" w:hAnsi="仿宋" w:eastAsia="仿宋"/>
          <w:sz w:val="32"/>
          <w:szCs w:val="32"/>
        </w:rPr>
      </w:pPr>
      <w:r>
        <w:rPr>
          <w:rFonts w:hint="eastAsia" w:ascii="仿宋" w:hAnsi="仿宋" w:eastAsia="仿宋"/>
          <w:sz w:val="32"/>
          <w:szCs w:val="32"/>
        </w:rPr>
        <w:t>2.支出说明</w:t>
      </w:r>
    </w:p>
    <w:p>
      <w:pPr>
        <w:ind w:firstLine="720"/>
        <w:jc w:val="left"/>
        <w:outlineLvl w:val="0"/>
        <w:rPr>
          <w:rFonts w:hint="eastAsia" w:ascii="仿宋" w:hAnsi="仿宋" w:eastAsia="仿宋"/>
          <w:sz w:val="32"/>
          <w:szCs w:val="32"/>
        </w:rPr>
      </w:pPr>
      <w:r>
        <w:rPr>
          <w:rFonts w:hint="eastAsia" w:ascii="仿宋" w:hAnsi="仿宋" w:eastAsia="仿宋"/>
          <w:sz w:val="32"/>
          <w:szCs w:val="32"/>
          <w:lang w:val="en-US" w:eastAsia="zh-CN"/>
        </w:rPr>
        <w:t>2020</w:t>
      </w:r>
      <w:r>
        <w:rPr>
          <w:rFonts w:hint="eastAsia" w:ascii="仿宋" w:hAnsi="仿宋" w:eastAsia="仿宋"/>
          <w:sz w:val="32"/>
          <w:szCs w:val="32"/>
        </w:rPr>
        <w:t>年支出预算</w:t>
      </w:r>
      <w:r>
        <w:rPr>
          <w:rFonts w:hint="eastAsia" w:ascii="仿宋" w:hAnsi="仿宋" w:eastAsia="仿宋"/>
          <w:sz w:val="32"/>
          <w:szCs w:val="32"/>
          <w:lang w:val="en-US" w:eastAsia="zh-CN"/>
        </w:rPr>
        <w:t>101.01</w:t>
      </w:r>
      <w:r>
        <w:rPr>
          <w:rFonts w:hint="eastAsia" w:ascii="仿宋" w:hAnsi="仿宋" w:eastAsia="仿宋"/>
          <w:sz w:val="32"/>
          <w:szCs w:val="32"/>
        </w:rPr>
        <w:t>万元，基中基本支出</w:t>
      </w:r>
      <w:r>
        <w:rPr>
          <w:rFonts w:hint="eastAsia" w:ascii="仿宋" w:hAnsi="仿宋" w:eastAsia="仿宋"/>
          <w:sz w:val="32"/>
          <w:szCs w:val="32"/>
          <w:lang w:val="en-US" w:eastAsia="zh-CN"/>
        </w:rPr>
        <w:t>91.71</w:t>
      </w:r>
      <w:r>
        <w:rPr>
          <w:rFonts w:hint="eastAsia" w:ascii="仿宋" w:hAnsi="仿宋" w:eastAsia="仿宋"/>
          <w:sz w:val="32"/>
          <w:szCs w:val="32"/>
        </w:rPr>
        <w:t>万元，包括人员经费</w:t>
      </w:r>
      <w:r>
        <w:rPr>
          <w:rFonts w:hint="eastAsia" w:ascii="仿宋" w:hAnsi="仿宋" w:eastAsia="仿宋"/>
          <w:sz w:val="32"/>
          <w:szCs w:val="32"/>
          <w:lang w:val="en-US" w:eastAsia="zh-CN"/>
        </w:rPr>
        <w:t>81.91</w:t>
      </w:r>
      <w:r>
        <w:rPr>
          <w:rFonts w:hint="eastAsia" w:ascii="仿宋" w:hAnsi="仿宋" w:eastAsia="仿宋"/>
          <w:sz w:val="32"/>
          <w:szCs w:val="32"/>
        </w:rPr>
        <w:t>万元和日常公用经费</w:t>
      </w:r>
      <w:r>
        <w:rPr>
          <w:rFonts w:hint="eastAsia" w:ascii="仿宋" w:hAnsi="仿宋" w:eastAsia="仿宋"/>
          <w:sz w:val="32"/>
          <w:szCs w:val="32"/>
          <w:lang w:val="en-US" w:eastAsia="zh-CN"/>
        </w:rPr>
        <w:t>9.80</w:t>
      </w:r>
      <w:r>
        <w:rPr>
          <w:rFonts w:hint="eastAsia" w:ascii="仿宋" w:hAnsi="仿宋" w:eastAsia="仿宋"/>
          <w:sz w:val="32"/>
          <w:szCs w:val="32"/>
        </w:rPr>
        <w:t>万元；项目支出</w:t>
      </w:r>
      <w:r>
        <w:rPr>
          <w:rFonts w:hint="eastAsia" w:ascii="仿宋" w:hAnsi="仿宋" w:eastAsia="仿宋"/>
          <w:sz w:val="32"/>
          <w:szCs w:val="32"/>
          <w:lang w:val="en-US" w:eastAsia="zh-CN"/>
        </w:rPr>
        <w:t>9.30</w:t>
      </w:r>
      <w:r>
        <w:rPr>
          <w:rFonts w:hint="eastAsia" w:ascii="仿宋" w:hAnsi="仿宋" w:eastAsia="仿宋"/>
          <w:sz w:val="32"/>
          <w:szCs w:val="32"/>
        </w:rPr>
        <w:t>万元，主要为团的各项活动支出。</w:t>
      </w:r>
    </w:p>
    <w:p>
      <w:pPr>
        <w:jc w:val="left"/>
        <w:outlineLvl w:val="0"/>
        <w:rPr>
          <w:rFonts w:hint="eastAsia" w:ascii="仿宋" w:hAnsi="仿宋" w:eastAsia="仿宋"/>
          <w:sz w:val="32"/>
          <w:szCs w:val="32"/>
        </w:rPr>
      </w:pPr>
      <w:r>
        <w:rPr>
          <w:rFonts w:hint="eastAsia" w:ascii="仿宋" w:hAnsi="仿宋" w:eastAsia="仿宋"/>
          <w:sz w:val="32"/>
          <w:szCs w:val="32"/>
        </w:rPr>
        <w:t xml:space="preserve">     3.比上年增减情况</w:t>
      </w:r>
    </w:p>
    <w:p>
      <w:pPr>
        <w:jc w:val="left"/>
        <w:outlineLvl w:val="0"/>
        <w:rPr>
          <w:rFonts w:hint="eastAsia" w:ascii="仿宋" w:hAnsi="仿宋" w:eastAsia="仿宋"/>
          <w:sz w:val="32"/>
          <w:szCs w:val="32"/>
        </w:rPr>
      </w:pPr>
      <w:r>
        <w:rPr>
          <w:rFonts w:hint="eastAsia" w:ascii="仿宋" w:hAnsi="仿宋" w:eastAsia="仿宋"/>
          <w:sz w:val="32"/>
          <w:szCs w:val="32"/>
        </w:rPr>
        <w:t xml:space="preserve">     20</w:t>
      </w:r>
      <w:r>
        <w:rPr>
          <w:rFonts w:hint="eastAsia" w:ascii="仿宋" w:hAnsi="仿宋" w:eastAsia="仿宋"/>
          <w:sz w:val="32"/>
          <w:szCs w:val="32"/>
          <w:lang w:val="en-US" w:eastAsia="zh-CN"/>
        </w:rPr>
        <w:t>20</w:t>
      </w:r>
      <w:r>
        <w:rPr>
          <w:rFonts w:hint="eastAsia" w:ascii="仿宋" w:hAnsi="仿宋" w:eastAsia="仿宋"/>
          <w:sz w:val="32"/>
          <w:szCs w:val="32"/>
        </w:rPr>
        <w:t>年预算收支安排</w:t>
      </w:r>
      <w:r>
        <w:rPr>
          <w:rFonts w:hint="eastAsia" w:ascii="仿宋" w:hAnsi="仿宋" w:eastAsia="仿宋"/>
          <w:sz w:val="32"/>
          <w:szCs w:val="32"/>
          <w:lang w:val="en-US" w:eastAsia="zh-CN"/>
        </w:rPr>
        <w:t>101.01</w:t>
      </w:r>
      <w:r>
        <w:rPr>
          <w:rFonts w:hint="eastAsia" w:ascii="仿宋" w:hAnsi="仿宋" w:eastAsia="仿宋"/>
          <w:sz w:val="32"/>
          <w:szCs w:val="32"/>
        </w:rPr>
        <w:t>万元，较201</w:t>
      </w:r>
      <w:r>
        <w:rPr>
          <w:rFonts w:hint="eastAsia" w:ascii="仿宋" w:hAnsi="仿宋" w:eastAsia="仿宋"/>
          <w:sz w:val="32"/>
          <w:szCs w:val="32"/>
          <w:lang w:val="en-US" w:eastAsia="zh-CN"/>
        </w:rPr>
        <w:t>9</w:t>
      </w:r>
      <w:r>
        <w:rPr>
          <w:rFonts w:hint="eastAsia" w:ascii="仿宋" w:hAnsi="仿宋" w:eastAsia="仿宋"/>
          <w:sz w:val="32"/>
          <w:szCs w:val="32"/>
        </w:rPr>
        <w:t>年预算增加</w:t>
      </w:r>
      <w:r>
        <w:rPr>
          <w:rFonts w:hint="eastAsia" w:ascii="仿宋" w:hAnsi="仿宋" w:eastAsia="仿宋"/>
          <w:sz w:val="32"/>
          <w:szCs w:val="32"/>
          <w:lang w:val="en-US" w:eastAsia="zh-CN"/>
        </w:rPr>
        <w:t>12.68</w:t>
      </w:r>
      <w:r>
        <w:rPr>
          <w:rFonts w:hint="eastAsia" w:ascii="仿宋" w:hAnsi="仿宋" w:eastAsia="仿宋"/>
          <w:sz w:val="32"/>
          <w:szCs w:val="32"/>
        </w:rPr>
        <w:t>万元，基中：基本支出增加</w:t>
      </w:r>
      <w:r>
        <w:rPr>
          <w:rFonts w:hint="eastAsia" w:ascii="仿宋" w:hAnsi="仿宋" w:eastAsia="仿宋"/>
          <w:sz w:val="32"/>
          <w:szCs w:val="32"/>
          <w:lang w:val="en-US" w:eastAsia="zh-CN"/>
        </w:rPr>
        <w:t>10.38</w:t>
      </w:r>
      <w:r>
        <w:rPr>
          <w:rFonts w:hint="eastAsia" w:ascii="仿宋" w:hAnsi="仿宋" w:eastAsia="仿宋"/>
          <w:sz w:val="32"/>
          <w:szCs w:val="32"/>
        </w:rPr>
        <w:t>万元，主要原因为增加了人员经费支出。项目支出增加</w:t>
      </w:r>
      <w:r>
        <w:rPr>
          <w:rFonts w:hint="eastAsia" w:ascii="仿宋" w:hAnsi="仿宋" w:eastAsia="仿宋"/>
          <w:sz w:val="32"/>
          <w:szCs w:val="32"/>
          <w:lang w:val="en-US" w:eastAsia="zh-CN"/>
        </w:rPr>
        <w:t>2.3</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主要原因为增加了</w:t>
      </w:r>
      <w:r>
        <w:rPr>
          <w:rFonts w:hint="eastAsia" w:ascii="仿宋" w:hAnsi="仿宋" w:eastAsia="仿宋"/>
          <w:sz w:val="32"/>
          <w:szCs w:val="32"/>
          <w:lang w:val="en-US" w:eastAsia="zh-CN"/>
        </w:rPr>
        <w:t>项目</w:t>
      </w:r>
      <w:r>
        <w:rPr>
          <w:rFonts w:hint="eastAsia" w:ascii="仿宋" w:hAnsi="仿宋" w:eastAsia="仿宋"/>
          <w:sz w:val="32"/>
          <w:szCs w:val="32"/>
        </w:rPr>
        <w:t>。</w:t>
      </w:r>
    </w:p>
    <w:p>
      <w:pPr>
        <w:ind w:firstLine="640" w:firstLineChars="200"/>
        <w:jc w:val="left"/>
        <w:outlineLvl w:val="0"/>
        <w:rPr>
          <w:rFonts w:hint="eastAsia" w:ascii="黑体" w:hAnsi="黑体" w:eastAsia="黑体" w:cs="黑体"/>
          <w:sz w:val="32"/>
          <w:szCs w:val="32"/>
        </w:rPr>
      </w:pPr>
      <w:r>
        <w:rPr>
          <w:rFonts w:hint="eastAsia" w:ascii="黑体" w:hAnsi="黑体" w:eastAsia="黑体" w:cs="黑体"/>
          <w:sz w:val="32"/>
          <w:szCs w:val="32"/>
        </w:rPr>
        <w:t xml:space="preserve">三、机关运行经费安排情况            </w:t>
      </w:r>
    </w:p>
    <w:p>
      <w:pPr>
        <w:ind w:firstLine="640" w:firstLineChars="200"/>
        <w:jc w:val="left"/>
        <w:rPr>
          <w:rFonts w:ascii="仿宋" w:hAnsi="仿宋" w:eastAsia="仿宋"/>
          <w:sz w:val="32"/>
          <w:szCs w:val="32"/>
        </w:rPr>
      </w:pPr>
      <w:r>
        <w:rPr>
          <w:rFonts w:ascii="仿宋" w:hAnsi="仿宋" w:eastAsia="仿宋"/>
          <w:sz w:val="32"/>
          <w:szCs w:val="32"/>
        </w:rPr>
        <w:t>机关运行经费共计安排</w:t>
      </w:r>
      <w:r>
        <w:rPr>
          <w:rFonts w:hint="eastAsia" w:ascii="仿宋" w:hAnsi="仿宋" w:eastAsia="仿宋"/>
          <w:sz w:val="32"/>
          <w:szCs w:val="32"/>
          <w:lang w:val="en-US" w:eastAsia="zh-CN"/>
        </w:rPr>
        <w:t>9.80</w:t>
      </w:r>
      <w:r>
        <w:rPr>
          <w:rFonts w:ascii="仿宋" w:hAnsi="仿宋" w:eastAsia="仿宋"/>
          <w:sz w:val="32"/>
          <w:szCs w:val="32"/>
        </w:rPr>
        <w:t>万元，主要用于</w:t>
      </w:r>
      <w:r>
        <w:rPr>
          <w:rFonts w:hint="eastAsia" w:ascii="Times New Roman" w:hAnsi="Times New Roman" w:eastAsia="仿宋" w:cs="Times New Roman"/>
          <w:sz w:val="32"/>
          <w:szCs w:val="32"/>
        </w:rPr>
        <w:t>保证机关正常运转的办公及印刷费、邮电费、差旅费、福利费等支出</w:t>
      </w:r>
      <w:r>
        <w:rPr>
          <w:rFonts w:ascii="仿宋" w:hAnsi="仿宋" w:eastAsia="仿宋"/>
          <w:sz w:val="32"/>
          <w:szCs w:val="32"/>
        </w:rPr>
        <w:t xml:space="preserve">。 </w:t>
      </w:r>
    </w:p>
    <w:p>
      <w:pPr>
        <w:ind w:firstLine="640" w:firstLineChars="200"/>
        <w:jc w:val="left"/>
        <w:outlineLvl w:val="0"/>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ind w:firstLine="640" w:firstLineChars="200"/>
        <w:outlineLvl w:val="0"/>
        <w:rPr>
          <w:rFonts w:hint="eastAsia" w:ascii="仿宋" w:hAnsi="仿宋" w:eastAsia="仿宋"/>
          <w:sz w:val="32"/>
          <w:szCs w:val="32"/>
        </w:rPr>
      </w:pPr>
      <w:r>
        <w:rPr>
          <w:rFonts w:hint="eastAsia" w:ascii="仿宋" w:hAnsi="仿宋" w:eastAsia="仿宋"/>
          <w:sz w:val="32"/>
          <w:szCs w:val="32"/>
          <w:lang w:val="en-US" w:eastAsia="zh-CN"/>
        </w:rPr>
        <w:t>2020</w:t>
      </w:r>
      <w:r>
        <w:rPr>
          <w:rFonts w:hint="eastAsia" w:ascii="仿宋" w:hAnsi="仿宋" w:eastAsia="仿宋"/>
          <w:sz w:val="32"/>
          <w:szCs w:val="32"/>
        </w:rPr>
        <w:t>年本部门安排“三公”经费0万元，与上年相比增加0万元，其中：</w:t>
      </w:r>
    </w:p>
    <w:p>
      <w:pPr>
        <w:ind w:firstLine="640" w:firstLineChars="200"/>
        <w:outlineLvl w:val="0"/>
        <w:rPr>
          <w:rFonts w:hint="eastAsia" w:ascii="仿宋" w:hAnsi="仿宋" w:eastAsia="仿宋"/>
          <w:sz w:val="32"/>
          <w:szCs w:val="32"/>
        </w:rPr>
      </w:pPr>
      <w:r>
        <w:rPr>
          <w:rFonts w:hint="eastAsia" w:ascii="仿宋" w:hAnsi="仿宋" w:eastAsia="仿宋"/>
          <w:sz w:val="32"/>
          <w:szCs w:val="32"/>
        </w:rPr>
        <w:t>1、因公出国（境）费0万元，与上年相比持平，无增减变化。</w:t>
      </w:r>
    </w:p>
    <w:p>
      <w:pPr>
        <w:ind w:firstLine="640" w:firstLineChars="200"/>
        <w:outlineLvl w:val="0"/>
        <w:rPr>
          <w:rFonts w:hint="eastAsia" w:ascii="仿宋" w:hAnsi="仿宋" w:eastAsia="仿宋"/>
          <w:sz w:val="32"/>
          <w:szCs w:val="32"/>
        </w:rPr>
      </w:pPr>
      <w:r>
        <w:rPr>
          <w:rFonts w:hint="eastAsia" w:ascii="仿宋" w:hAnsi="仿宋" w:eastAsia="仿宋"/>
          <w:sz w:val="32"/>
          <w:szCs w:val="32"/>
        </w:rPr>
        <w:t>2、公务用车购置及运行维护费0万元，其中：公务用车购置0万元，与上年相比增加0万元，主要原因公车改革，单位取消公车；公务用车运行维护费0万元，与上年相比增加0万元,主要原因：公车改革，单位取消公车 。与上年相比持平，无增减变化。</w:t>
      </w:r>
    </w:p>
    <w:p>
      <w:pPr>
        <w:ind w:firstLine="640" w:firstLineChars="200"/>
        <w:outlineLvl w:val="0"/>
        <w:rPr>
          <w:rFonts w:hint="eastAsia" w:ascii="仿宋" w:hAnsi="仿宋" w:eastAsia="仿宋"/>
          <w:sz w:val="32"/>
          <w:szCs w:val="32"/>
        </w:rPr>
      </w:pPr>
      <w:r>
        <w:rPr>
          <w:rFonts w:hint="eastAsia" w:ascii="仿宋" w:hAnsi="仿宋" w:eastAsia="仿宋"/>
          <w:sz w:val="32"/>
          <w:szCs w:val="32"/>
        </w:rPr>
        <w:t>3、公务接待费0万元，与上年相比增加0万元。与上年相比持平，无增减变化。</w:t>
      </w:r>
    </w:p>
    <w:p>
      <w:pPr>
        <w:ind w:firstLine="640" w:firstLineChars="200"/>
        <w:jc w:val="left"/>
        <w:outlineLvl w:val="0"/>
        <w:rPr>
          <w:rFonts w:hint="eastAsia" w:ascii="黑体" w:hAnsi="黑体" w:eastAsia="黑体" w:cs="黑体"/>
          <w:sz w:val="32"/>
          <w:szCs w:val="32"/>
        </w:rPr>
      </w:pPr>
      <w:r>
        <w:rPr>
          <w:rFonts w:hint="eastAsia" w:ascii="黑体" w:hAnsi="黑体" w:eastAsia="黑体" w:cs="黑体"/>
          <w:sz w:val="32"/>
          <w:szCs w:val="32"/>
        </w:rPr>
        <w:t>五、绩效预算信息</w:t>
      </w:r>
    </w:p>
    <w:p>
      <w:pPr>
        <w:ind w:firstLine="640" w:firstLineChars="200"/>
        <w:jc w:val="left"/>
        <w:rPr>
          <w:rFonts w:hint="eastAsia" w:ascii="黑体" w:hAnsi="黑体" w:eastAsia="黑体" w:cs="黑体"/>
          <w:sz w:val="32"/>
          <w:szCs w:val="32"/>
          <w:lang w:val="en-US" w:eastAsia="zh-CN"/>
        </w:rPr>
      </w:pPr>
      <w:r>
        <w:rPr>
          <w:rFonts w:hint="eastAsia" w:ascii="Times New Roman" w:hAnsi="Times New Roman" w:eastAsia="方正仿宋_GBK" w:cs="Times New Roman"/>
          <w:b/>
          <w:sz w:val="32"/>
          <w:szCs w:val="32"/>
        </w:rPr>
        <w:t>第一部分  部门整体绩效目标</w:t>
      </w:r>
    </w:p>
    <w:p>
      <w:pPr>
        <w:widowControl w:val="0"/>
        <w:wordWrap/>
        <w:adjustRightInd/>
        <w:snapToGrid/>
        <w:spacing w:before="0" w:beforeLines="0" w:after="0" w:afterLines="0" w:line="520" w:lineRule="exact"/>
        <w:ind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一、总体绩效目标</w:t>
      </w:r>
    </w:p>
    <w:p>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rPr>
        <w:t>领导全区共青团工作；加强</w:t>
      </w:r>
      <w:r>
        <w:rPr>
          <w:rFonts w:hint="eastAsia" w:ascii="仿宋" w:hAnsi="仿宋" w:eastAsia="仿宋" w:cs="Times New Roman"/>
          <w:sz w:val="32"/>
          <w:szCs w:val="32"/>
          <w:lang w:val="en-US" w:eastAsia="zh-CN"/>
        </w:rPr>
        <w:t>团的基层组织建设，扩大团组织的覆盖面，加强</w:t>
      </w:r>
      <w:r>
        <w:rPr>
          <w:rFonts w:hint="eastAsia" w:ascii="仿宋" w:hAnsi="仿宋" w:eastAsia="仿宋" w:cs="Times New Roman"/>
          <w:sz w:val="32"/>
          <w:szCs w:val="32"/>
        </w:rPr>
        <w:t>青年中心、非公</w:t>
      </w:r>
      <w:r>
        <w:rPr>
          <w:rFonts w:hint="eastAsia" w:ascii="仿宋" w:hAnsi="仿宋" w:eastAsia="仿宋" w:cs="Times New Roman"/>
          <w:sz w:val="32"/>
          <w:szCs w:val="32"/>
          <w:lang w:val="en-US" w:eastAsia="zh-CN"/>
        </w:rPr>
        <w:t>经济</w:t>
      </w:r>
      <w:r>
        <w:rPr>
          <w:rFonts w:hint="eastAsia" w:ascii="仿宋" w:hAnsi="仿宋" w:eastAsia="仿宋" w:cs="Times New Roman"/>
          <w:sz w:val="32"/>
          <w:szCs w:val="32"/>
        </w:rPr>
        <w:t>团组织、自组织</w:t>
      </w:r>
      <w:r>
        <w:rPr>
          <w:rFonts w:hint="eastAsia" w:ascii="仿宋" w:hAnsi="仿宋" w:eastAsia="仿宋" w:cs="Times New Roman"/>
          <w:sz w:val="32"/>
          <w:szCs w:val="32"/>
          <w:lang w:val="en-US" w:eastAsia="zh-CN"/>
        </w:rPr>
        <w:t>等外围组织建设</w:t>
      </w:r>
      <w:r>
        <w:rPr>
          <w:rFonts w:hint="eastAsia" w:ascii="仿宋" w:hAnsi="仿宋" w:eastAsia="仿宋" w:cs="Times New Roman"/>
          <w:sz w:val="32"/>
          <w:szCs w:val="32"/>
        </w:rPr>
        <w:t>；对全</w:t>
      </w:r>
      <w:r>
        <w:rPr>
          <w:rFonts w:hint="eastAsia" w:ascii="仿宋" w:hAnsi="仿宋" w:eastAsia="仿宋" w:cs="Times New Roman"/>
          <w:sz w:val="32"/>
          <w:szCs w:val="32"/>
          <w:lang w:val="en-US" w:eastAsia="zh-CN"/>
        </w:rPr>
        <w:t>区</w:t>
      </w:r>
      <w:r>
        <w:rPr>
          <w:rFonts w:hint="eastAsia" w:ascii="仿宋" w:hAnsi="仿宋" w:eastAsia="仿宋" w:cs="Times New Roman"/>
          <w:sz w:val="32"/>
          <w:szCs w:val="32"/>
        </w:rPr>
        <w:t>团员青年进行团员意识教育；加强团干部的作风建设；受区委的委托，领导全区少先队的工作。 教育和带领团员青年坚定理想信念，继承和发扬党的优良传统，积极践行社会主义核心价值观，从小树立远大理想，为实现“中国梦”而奋斗。承担区委、区政府和有关方面委托的青少年工作事宜，参与协调处理各种与青少年利益有关的工作</w:t>
      </w:r>
      <w:r>
        <w:rPr>
          <w:rFonts w:hint="eastAsia" w:ascii="仿宋" w:hAnsi="仿宋" w:eastAsia="仿宋" w:cs="Times New Roman"/>
          <w:sz w:val="32"/>
          <w:szCs w:val="32"/>
          <w:lang w:eastAsia="zh-CN"/>
        </w:rPr>
        <w:t>。</w:t>
      </w:r>
      <w:r>
        <w:rPr>
          <w:rFonts w:hint="eastAsia" w:ascii="仿宋" w:hAnsi="仿宋" w:eastAsia="仿宋" w:cs="Times New Roman"/>
          <w:sz w:val="32"/>
          <w:szCs w:val="32"/>
        </w:rPr>
        <w:t>团区委将通过全面推进改革举措落地，力争让机构设置更合理、让团干队伍更优化、让基层力量更充实、让基层组织覆盖更广、让团与青年走得更近、让青年工作保障更强。</w:t>
      </w:r>
    </w:p>
    <w:p>
      <w:pPr>
        <w:widowControl w:val="0"/>
        <w:wordWrap/>
        <w:adjustRightInd/>
        <w:snapToGrid/>
        <w:spacing w:before="0" w:beforeLines="0" w:after="0" w:afterLines="0" w:line="520" w:lineRule="exact"/>
        <w:ind w:right="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二、分项绩效目标</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一)党建带团建工作</w:t>
      </w:r>
    </w:p>
    <w:p>
      <w:pPr>
        <w:ind w:firstLine="640" w:firstLineChars="200"/>
        <w:outlineLvl w:val="0"/>
        <w:rPr>
          <w:rFonts w:hint="eastAsia" w:ascii="仿宋" w:hAnsi="仿宋" w:eastAsia="仿宋" w:cs="Times New Roman"/>
          <w:sz w:val="32"/>
          <w:szCs w:val="32"/>
        </w:rPr>
      </w:pPr>
      <w:r>
        <w:rPr>
          <w:rFonts w:hint="eastAsia" w:ascii="仿宋" w:hAnsi="仿宋" w:eastAsia="仿宋" w:cs="Times New Roman"/>
          <w:sz w:val="32"/>
          <w:szCs w:val="32"/>
          <w:lang w:val="en-US" w:eastAsia="zh-CN"/>
        </w:rPr>
        <w:t>绩效目标：</w:t>
      </w:r>
      <w:r>
        <w:rPr>
          <w:rFonts w:hint="eastAsia" w:ascii="仿宋" w:hAnsi="仿宋" w:eastAsia="仿宋" w:cs="Times New Roman"/>
          <w:sz w:val="32"/>
          <w:szCs w:val="32"/>
        </w:rPr>
        <w:t>加强团组织建设，扩大团组织覆盖面，落实团的“一会三课”制度，规范团员和团干部的管理及团内各项制度的落实，提高共青团工作活力</w:t>
      </w:r>
      <w:r>
        <w:rPr>
          <w:rFonts w:hint="eastAsia" w:ascii="仿宋" w:hAnsi="仿宋" w:eastAsia="仿宋" w:cs="Times New Roman"/>
          <w:sz w:val="32"/>
          <w:szCs w:val="32"/>
          <w:lang w:eastAsia="zh-CN"/>
        </w:rPr>
        <w:t>；</w:t>
      </w:r>
      <w:r>
        <w:rPr>
          <w:rFonts w:hint="eastAsia" w:ascii="仿宋" w:hAnsi="仿宋" w:eastAsia="仿宋" w:cs="Times New Roman"/>
          <w:sz w:val="32"/>
          <w:szCs w:val="32"/>
        </w:rPr>
        <w:t>维护全区青少年的合法权益。</w:t>
      </w:r>
    </w:p>
    <w:p>
      <w:pPr>
        <w:ind w:firstLine="640" w:firstLineChars="200"/>
        <w:outlineLvl w:val="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绩效指标：加强团的组织建设，扩大团组织的覆盖面和影响力；</w:t>
      </w:r>
      <w:r>
        <w:rPr>
          <w:rFonts w:hint="eastAsia" w:ascii="仿宋" w:hAnsi="仿宋" w:eastAsia="仿宋" w:cs="Times New Roman"/>
          <w:sz w:val="32"/>
          <w:szCs w:val="32"/>
        </w:rPr>
        <w:t>发挥预防青少年违法犯罪活动办公室和区未成年人心理维护中心的作用，</w:t>
      </w:r>
      <w:r>
        <w:rPr>
          <w:rFonts w:hint="eastAsia" w:ascii="仿宋" w:hAnsi="仿宋" w:eastAsia="仿宋" w:cs="Times New Roman"/>
          <w:sz w:val="32"/>
          <w:szCs w:val="32"/>
          <w:lang w:val="en-US" w:eastAsia="zh-CN"/>
        </w:rPr>
        <w:t>通过法律知识进校园、自护教育等，提高青少年的自我保护意识。</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（二）青年中心建设</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绩效目标：</w:t>
      </w:r>
      <w:r>
        <w:rPr>
          <w:rFonts w:hint="eastAsia" w:ascii="仿宋" w:hAnsi="仿宋" w:eastAsia="仿宋" w:cs="Times New Roman"/>
          <w:sz w:val="32"/>
          <w:szCs w:val="32"/>
        </w:rPr>
        <w:t>加强</w:t>
      </w:r>
      <w:r>
        <w:rPr>
          <w:rFonts w:hint="eastAsia" w:ascii="仿宋" w:hAnsi="仿宋" w:eastAsia="仿宋" w:cs="Times New Roman"/>
          <w:sz w:val="32"/>
          <w:szCs w:val="32"/>
          <w:lang w:val="en-US" w:eastAsia="zh-CN"/>
        </w:rPr>
        <w:t>青年中心、非公经济</w:t>
      </w:r>
      <w:r>
        <w:rPr>
          <w:rFonts w:hint="eastAsia" w:ascii="仿宋" w:hAnsi="仿宋" w:eastAsia="仿宋" w:cs="Times New Roman"/>
          <w:sz w:val="32"/>
          <w:szCs w:val="32"/>
        </w:rPr>
        <w:t>团组织建设，活跃团体工作，凝聚更多的优秀青年。</w:t>
      </w:r>
    </w:p>
    <w:p>
      <w:pPr>
        <w:ind w:firstLine="640" w:firstLineChars="200"/>
        <w:outlineLvl w:val="0"/>
        <w:rPr>
          <w:rFonts w:hint="eastAsia" w:ascii="仿宋" w:hAnsi="仿宋" w:eastAsia="仿宋" w:cs="Times New Roman"/>
          <w:sz w:val="32"/>
          <w:szCs w:val="32"/>
        </w:rPr>
      </w:pPr>
      <w:r>
        <w:rPr>
          <w:rFonts w:hint="eastAsia" w:ascii="仿宋" w:hAnsi="仿宋" w:eastAsia="仿宋" w:cs="Times New Roman"/>
          <w:sz w:val="32"/>
          <w:szCs w:val="32"/>
          <w:lang w:val="en-US" w:eastAsia="zh-CN"/>
        </w:rPr>
        <w:t>绩效指标：在全区新建规范5家青年中心，打造线上线下联系服务青年的公益性、专业化工作平台。</w:t>
      </w:r>
      <w:r>
        <w:rPr>
          <w:rFonts w:hint="eastAsia" w:ascii="仿宋" w:hAnsi="仿宋" w:eastAsia="仿宋" w:cs="Times New Roman"/>
          <w:sz w:val="32"/>
          <w:szCs w:val="32"/>
        </w:rPr>
        <w:t xml:space="preserve">  </w:t>
      </w:r>
    </w:p>
    <w:p>
      <w:pPr>
        <w:spacing w:line="500" w:lineRule="exact"/>
        <w:ind w:firstLine="640" w:firstLineChars="200"/>
        <w:jc w:val="left"/>
        <w:rPr>
          <w:rFonts w:eastAsia="方正仿宋_GBK"/>
          <w:sz w:val="28"/>
        </w:rPr>
      </w:pPr>
      <w:r>
        <w:rPr>
          <w:rFonts w:hint="eastAsia" w:ascii="黑体" w:hAnsi="黑体" w:eastAsia="黑体" w:cs="黑体"/>
          <w:sz w:val="32"/>
          <w:szCs w:val="32"/>
          <w:lang w:val="en-US" w:eastAsia="zh-CN"/>
        </w:rPr>
        <w:t>三、工作保障措施</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（一）加强组织建设，提高团组织在青年中的影响力和凝聚力</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按照习近平总书记提出的“青年在哪里，团组织就建在哪里”的要求，我们大力加强团组织建设。加强基层团建工作，是巩固党的青年群众基础、为党赢得青年、赢得未来的必然要求，是新时期党建工作的内在需求。根据基层青年发展需要，在活动时间、活动内容上力争创新，以此增强团组织的凝聚力，开展具有影响力的活动，以点带面，力争让基层团的活动覆盖到更多的青年，实现基层共青团工作的整体活跃。</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（二）强化服务功能，维护青少年合法权益</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围绕学业辅导、亲情陪伴、感受城市、自护教育、爱心捐助五项服务内容，在元旦、春节、6·1等节日期间，集中开展形式多样的活动，扩大关爱活动的社会影响力和美誉度。发挥好预防青少年违法犯罪办公室的作用，教育引导青少年牢固树立法律意识、增强法制观念，提高维护自身合法权益的能力，促进青少年健康成长。</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（三）整合多方资源，主动适应新时代青年发展</w:t>
      </w:r>
    </w:p>
    <w:p>
      <w:pPr>
        <w:ind w:firstLine="640" w:firstLineChars="200"/>
        <w:outlineLvl w:val="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加强“青年中心”建设，主动适应新时代团员青年分布凝聚特点和青年工作组织形态多样化的需要，推进团的建设创新。建成共青团直接领导或主导的，依托各类实体空间和“青年中心”云平台，线上线下联系团员青年的公益性、专业化工作平台。</w:t>
      </w:r>
    </w:p>
    <w:p>
      <w:pPr>
        <w:pStyle w:val="2"/>
        <w:numPr>
          <w:ilvl w:val="0"/>
          <w:numId w:val="1"/>
        </w:numPr>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pPr>
        <w:ind w:firstLine="560" w:firstLineChars="200"/>
        <w:jc w:val="left"/>
        <w:outlineLvl w:val="1"/>
        <w:rPr>
          <w:rFonts w:hAnsi="宋体"/>
          <w:b w:val="0"/>
          <w:bCs/>
          <w:sz w:val="28"/>
        </w:rPr>
      </w:pPr>
      <w:r>
        <w:rPr>
          <w:rFonts w:hint="eastAsia" w:ascii="方正仿宋_GBK" w:eastAsia="方正仿宋_GBK"/>
          <w:b w:val="0"/>
          <w:bCs/>
          <w:sz w:val="28"/>
        </w:rPr>
        <w:t>1、党建带团建工作经费绩效目标表</w:t>
      </w:r>
      <w:r>
        <w:rPr>
          <w:b w:val="0"/>
          <w:bCs/>
        </w:rPr>
        <w:fldChar w:fldCharType="begin"/>
      </w:r>
      <w:r>
        <w:rPr>
          <w:rFonts w:ascii="方正仿宋_GBK" w:eastAsia="方正仿宋_GBK"/>
          <w:b w:val="0"/>
          <w:bCs/>
          <w:sz w:val="28"/>
        </w:rPr>
        <w:instrText xml:space="preserve"> </w:instrText>
      </w:r>
      <w:r>
        <w:rPr>
          <w:rFonts w:hint="eastAsia" w:ascii="方正仿宋_GBK" w:eastAsia="方正仿宋_GBK"/>
          <w:b w:val="0"/>
          <w:bCs/>
          <w:sz w:val="28"/>
        </w:rPr>
        <w:instrText xml:space="preserve">TC </w:instrText>
      </w:r>
      <w:bookmarkStart w:id="0" w:name="_Toc29797926"/>
      <w:r>
        <w:rPr>
          <w:rFonts w:hint="eastAsia" w:ascii="方正仿宋_GBK" w:eastAsia="方正仿宋_GBK"/>
          <w:b w:val="0"/>
          <w:bCs/>
          <w:sz w:val="28"/>
        </w:rPr>
        <w:instrText xml:space="preserve">1、党建带团建工作经费绩效目标表</w:instrText>
      </w:r>
      <w:bookmarkEnd w:id="0"/>
      <w:r>
        <w:rPr>
          <w:rFonts w:hint="eastAsia" w:ascii="方正仿宋_GBK" w:eastAsia="方正仿宋_GBK"/>
          <w:b w:val="0"/>
          <w:bCs/>
          <w:sz w:val="28"/>
        </w:rPr>
        <w:instrText xml:space="preserve"> \f C \l 1</w:instrText>
      </w:r>
      <w:r>
        <w:rPr>
          <w:rFonts w:ascii="方正仿宋_GBK" w:eastAsia="方正仿宋_GBK"/>
          <w:b w:val="0"/>
          <w:bCs/>
          <w:sz w:val="28"/>
        </w:rPr>
        <w:instrText xml:space="preserve"> </w:instrText>
      </w:r>
      <w:r>
        <w:rPr>
          <w:rFonts w:ascii="方正仿宋_GBK" w:eastAsia="方正仿宋_GBK"/>
          <w:b w:val="0"/>
          <w:bCs/>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712002</w:t>
            </w:r>
            <w:r>
              <w:rPr>
                <w:rFonts w:hint="eastAsia" w:ascii="方正书宋_GBK" w:eastAsia="方正书宋_GBK"/>
                <w:b/>
              </w:rPr>
              <w:t>中国共产主义青年团石家庄市藁城区委员会</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712-0102-JQN-RHRZ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党建带团建工作经费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加强团的组织建设，提高团组织的战斗力，充分发挥团组织的模范作用，扩大团组织的覆盖面。加强青少年思想引领，提高青少年思想道德水平。做好青少年的权益工作，预防青少年违法犯罪。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、加强团的基层组织建设，按要求完成上级团组织的工作任务。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、加强青少年思想引领，加强法制宣传力度，维护青少年合法权益。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各级团组织建设规范化程度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反应组织建设或平台建设阵地、人员、制度达标数占总数的比例。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年度工作总结确定数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加强青少年思想引领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提高团组织对青少年的影响力。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开展法制宣传教育参与人数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反映青少年法制宣传教育工作活跃程度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团的基层组织建设工作进一步加强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团组织的覆盖面扩大、工作能力进一步增强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年度工作总结确定数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青少年的思想道德建设工作进一步加强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发挥团组织的引领作用，加强青少年思想道德建设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青少年的权益工作进一步加强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对青少年的法制宣传力度进一步增强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团组织的影响力进一步加强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年度工作总结确定数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团组织对青少年的思想引领进一步加强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青少年法律意识增强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年度活动参与人数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val="0"/>
          <w:bCs/>
          <w:sz w:val="28"/>
        </w:rPr>
      </w:pPr>
      <w:r>
        <w:rPr>
          <w:rFonts w:hint="eastAsia" w:ascii="方正仿宋_GBK" w:eastAsia="方正仿宋_GBK"/>
          <w:b w:val="0"/>
          <w:bCs/>
          <w:sz w:val="28"/>
        </w:rPr>
        <w:t>2、青年中心建设绩效目标表</w:t>
      </w:r>
      <w:r>
        <w:rPr>
          <w:b w:val="0"/>
          <w:bCs/>
        </w:rPr>
        <w:fldChar w:fldCharType="begin"/>
      </w:r>
      <w:r>
        <w:rPr>
          <w:rFonts w:ascii="方正仿宋_GBK" w:eastAsia="方正仿宋_GBK"/>
          <w:b w:val="0"/>
          <w:bCs/>
          <w:sz w:val="28"/>
        </w:rPr>
        <w:instrText xml:space="preserve"> </w:instrText>
      </w:r>
      <w:r>
        <w:rPr>
          <w:rFonts w:hint="eastAsia" w:ascii="方正仿宋_GBK" w:eastAsia="方正仿宋_GBK"/>
          <w:b w:val="0"/>
          <w:bCs/>
          <w:sz w:val="28"/>
        </w:rPr>
        <w:instrText xml:space="preserve">TC </w:instrText>
      </w:r>
      <w:bookmarkStart w:id="1" w:name="_Toc29797927"/>
      <w:r>
        <w:rPr>
          <w:rFonts w:hint="eastAsia" w:ascii="方正仿宋_GBK" w:eastAsia="方正仿宋_GBK"/>
          <w:b w:val="0"/>
          <w:bCs/>
          <w:sz w:val="28"/>
        </w:rPr>
        <w:instrText xml:space="preserve">2、青年中心建设绩效目标表</w:instrText>
      </w:r>
      <w:bookmarkEnd w:id="1"/>
      <w:r>
        <w:rPr>
          <w:rFonts w:hint="eastAsia" w:ascii="方正仿宋_GBK" w:eastAsia="方正仿宋_GBK"/>
          <w:b w:val="0"/>
          <w:bCs/>
          <w:sz w:val="28"/>
        </w:rPr>
        <w:instrText xml:space="preserve"> \f C \l 1</w:instrText>
      </w:r>
      <w:r>
        <w:rPr>
          <w:rFonts w:ascii="方正仿宋_GBK" w:eastAsia="方正仿宋_GBK"/>
          <w:b w:val="0"/>
          <w:bCs/>
          <w:sz w:val="28"/>
        </w:rPr>
        <w:instrText xml:space="preserve"> </w:instrText>
      </w:r>
      <w:r>
        <w:rPr>
          <w:rFonts w:ascii="方正仿宋_GBK" w:eastAsia="方正仿宋_GBK"/>
          <w:b w:val="0"/>
          <w:bCs/>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712002</w:t>
            </w:r>
            <w:r>
              <w:rPr>
                <w:rFonts w:hint="eastAsia" w:ascii="方正书宋_GBK" w:eastAsia="方正书宋_GBK"/>
                <w:b/>
              </w:rPr>
              <w:t>中国共产主义青年团石家庄市藁城区委员会</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712-0102-YQN-2XBM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青年中心建设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用于我区</w:t>
            </w:r>
            <w:r>
              <w:rPr>
                <w:rFonts w:hint="cs" w:ascii="方正书宋_GBK" w:eastAsia="方正书宋_GBK"/>
              </w:rPr>
              <w:t>“</w:t>
            </w:r>
            <w:r>
              <w:rPr>
                <w:rFonts w:hint="eastAsia" w:ascii="方正书宋_GBK" w:eastAsia="方正书宋_GBK"/>
              </w:rPr>
              <w:t>青年中心</w:t>
            </w:r>
            <w:r>
              <w:rPr>
                <w:rFonts w:hint="cs" w:ascii="方正书宋_GBK" w:eastAsia="方正书宋_GBK"/>
              </w:rPr>
              <w:t>”</w:t>
            </w:r>
            <w:r>
              <w:rPr>
                <w:rFonts w:hint="eastAsia" w:ascii="方正书宋_GBK" w:eastAsia="方正书宋_GBK"/>
              </w:rPr>
              <w:t>的建设，为全区青年建设线上线下联系服务青年的公益性、专业化工作平台。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0.30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0.70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、有阵地依托、有项目支持、有运营力量。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、有场地、有活动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在全区建立规范</w:t>
            </w:r>
            <w:r>
              <w:rPr>
                <w:rFonts w:ascii="方正书宋_GBK" w:eastAsia="方正书宋_GBK"/>
              </w:rPr>
              <w:t>5</w:t>
            </w:r>
            <w:r>
              <w:rPr>
                <w:rFonts w:hint="eastAsia" w:ascii="方正书宋_GBK" w:eastAsia="方正书宋_GBK"/>
              </w:rPr>
              <w:t>家青年中心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在全区建立规范</w:t>
            </w:r>
            <w:r>
              <w:rPr>
                <w:rFonts w:ascii="方正书宋_GBK" w:eastAsia="方正书宋_GBK"/>
              </w:rPr>
              <w:t>5</w:t>
            </w:r>
            <w:r>
              <w:rPr>
                <w:rFonts w:hint="eastAsia" w:ascii="方正书宋_GBK" w:eastAsia="方正书宋_GBK"/>
              </w:rPr>
              <w:t>家青年中心，做到有场地、有人员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建立</w:t>
            </w:r>
            <w:r>
              <w:rPr>
                <w:rFonts w:ascii="方正书宋_GBK" w:eastAsia="方正书宋_GBK"/>
              </w:rPr>
              <w:t>5</w:t>
            </w:r>
            <w:r>
              <w:rPr>
                <w:rFonts w:hint="eastAsia" w:ascii="方正书宋_GBK" w:eastAsia="方正书宋_GBK"/>
              </w:rPr>
              <w:t>家青年中心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提高团组织的吸引力和覆盖面</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提高团组织在广大青年中的吸引力和覆盖面</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提高团组织在青年中的吸引力，让他们主动参与团的各项活动</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青年对共青团组织的工作、提供的服务满意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青年对共青团的工作、提供的服务满意，愿意积极主动参与</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bl>
    <w:p>
      <w:pPr>
        <w:pStyle w:val="2"/>
        <w:numPr>
          <w:ilvl w:val="0"/>
          <w:numId w:val="0"/>
        </w:numPr>
        <w:rPr>
          <w:rFonts w:hint="eastAsia" w:ascii="Times New Roman" w:hAnsi="Times New Roman" w:eastAsia="方正仿宋_GBK" w:cs="Times New Roman"/>
          <w:b/>
          <w:sz w:val="32"/>
          <w:szCs w:val="32"/>
          <w:lang w:val="en-US" w:eastAsia="zh-CN"/>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880" w:firstLineChars="200"/>
        <w:jc w:val="left"/>
        <w:rPr>
          <w:rFonts w:hint="eastAsia" w:ascii="宋体" w:hAnsi="宋体"/>
          <w:sz w:val="44"/>
          <w:szCs w:val="44"/>
        </w:rPr>
      </w:pPr>
    </w:p>
    <w:p>
      <w:pPr>
        <w:spacing w:line="500" w:lineRule="exact"/>
        <w:ind w:firstLine="640" w:firstLineChars="200"/>
        <w:jc w:val="left"/>
        <w:rPr>
          <w:rFonts w:hint="eastAsia" w:ascii="黑体" w:hAnsi="黑体" w:eastAsia="黑体" w:cs="黑体"/>
          <w:sz w:val="32"/>
          <w:szCs w:val="32"/>
        </w:rPr>
      </w:pPr>
      <w:r>
        <w:rPr>
          <w:rFonts w:hint="eastAsia" w:ascii="黑体" w:hAnsi="黑体" w:eastAsia="黑体" w:cs="黑体"/>
          <w:sz w:val="32"/>
          <w:szCs w:val="32"/>
        </w:rPr>
        <w:t>六、政府采购预算情况</w:t>
      </w:r>
    </w:p>
    <w:p>
      <w:pPr>
        <w:pStyle w:val="8"/>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20</w:t>
      </w:r>
      <w:r>
        <w:rPr>
          <w:rFonts w:hint="eastAsia" w:ascii="仿宋" w:hAnsi="仿宋" w:eastAsia="仿宋"/>
          <w:sz w:val="32"/>
          <w:szCs w:val="32"/>
          <w:lang w:val="en-US" w:eastAsia="zh-CN"/>
        </w:rPr>
        <w:t>20</w:t>
      </w:r>
      <w:r>
        <w:rPr>
          <w:rFonts w:hint="eastAsia" w:ascii="仿宋" w:hAnsi="仿宋" w:eastAsia="仿宋"/>
          <w:sz w:val="32"/>
          <w:szCs w:val="32"/>
          <w:lang w:eastAsia="zh-CN"/>
        </w:rPr>
        <w:t>年，我单位安排采购预算0万元。具体内容见下表。</w:t>
      </w:r>
    </w:p>
    <w:tbl>
      <w:tblPr>
        <w:tblStyle w:val="7"/>
        <w:tblW w:w="1008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6"/>
        <w:gridCol w:w="762"/>
        <w:gridCol w:w="633"/>
        <w:gridCol w:w="691"/>
        <w:gridCol w:w="649"/>
        <w:gridCol w:w="617"/>
        <w:gridCol w:w="647"/>
        <w:gridCol w:w="633"/>
        <w:gridCol w:w="633"/>
        <w:gridCol w:w="633"/>
        <w:gridCol w:w="633"/>
        <w:gridCol w:w="633"/>
        <w:gridCol w:w="633"/>
        <w:gridCol w:w="5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5685"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rPr>
            </w:pPr>
          </w:p>
        </w:tc>
        <w:tc>
          <w:tcPr>
            <w:tcW w:w="4395" w:type="dxa"/>
            <w:gridSpan w:val="7"/>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4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633"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69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4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1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64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4395" w:type="dxa"/>
            <w:gridSpan w:val="7"/>
            <w:noWrap w:val="0"/>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68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76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633" w:type="dxa"/>
            <w:vMerge w:val="continue"/>
            <w:noWrap w:val="0"/>
            <w:vAlign w:val="center"/>
          </w:tcPr>
          <w:p>
            <w:pPr>
              <w:spacing w:line="300" w:lineRule="exact"/>
              <w:jc w:val="left"/>
              <w:outlineLvl w:val="0"/>
            </w:pPr>
          </w:p>
        </w:tc>
        <w:tc>
          <w:tcPr>
            <w:tcW w:w="691" w:type="dxa"/>
            <w:vMerge w:val="continue"/>
            <w:noWrap w:val="0"/>
            <w:vAlign w:val="center"/>
          </w:tcPr>
          <w:p>
            <w:pPr>
              <w:spacing w:line="300" w:lineRule="exact"/>
              <w:jc w:val="left"/>
              <w:outlineLvl w:val="0"/>
            </w:pPr>
          </w:p>
        </w:tc>
        <w:tc>
          <w:tcPr>
            <w:tcW w:w="649" w:type="dxa"/>
            <w:vMerge w:val="continue"/>
            <w:noWrap w:val="0"/>
            <w:vAlign w:val="center"/>
          </w:tcPr>
          <w:p>
            <w:pPr>
              <w:spacing w:line="300" w:lineRule="exact"/>
              <w:jc w:val="left"/>
              <w:outlineLvl w:val="0"/>
            </w:pPr>
          </w:p>
        </w:tc>
        <w:tc>
          <w:tcPr>
            <w:tcW w:w="617" w:type="dxa"/>
            <w:vMerge w:val="continue"/>
            <w:noWrap w:val="0"/>
            <w:vAlign w:val="center"/>
          </w:tcPr>
          <w:p>
            <w:pPr>
              <w:spacing w:line="300" w:lineRule="exact"/>
              <w:jc w:val="left"/>
              <w:outlineLvl w:val="0"/>
            </w:pPr>
          </w:p>
        </w:tc>
        <w:tc>
          <w:tcPr>
            <w:tcW w:w="647" w:type="dxa"/>
            <w:vMerge w:val="continue"/>
            <w:noWrap w:val="0"/>
            <w:vAlign w:val="center"/>
          </w:tcPr>
          <w:p>
            <w:pPr>
              <w:spacing w:line="300" w:lineRule="exact"/>
              <w:jc w:val="left"/>
              <w:outlineLvl w:val="0"/>
            </w:pPr>
          </w:p>
        </w:tc>
        <w:tc>
          <w:tcPr>
            <w:tcW w:w="633"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165" w:type="dxa"/>
            <w:gridSpan w:val="5"/>
            <w:noWrap w:val="0"/>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59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686" w:type="dxa"/>
            <w:vMerge w:val="continue"/>
            <w:noWrap w:val="0"/>
            <w:vAlign w:val="center"/>
          </w:tcPr>
          <w:p>
            <w:pPr>
              <w:spacing w:line="300" w:lineRule="exact"/>
              <w:jc w:val="left"/>
              <w:outlineLvl w:val="0"/>
            </w:pPr>
          </w:p>
        </w:tc>
        <w:tc>
          <w:tcPr>
            <w:tcW w:w="762" w:type="dxa"/>
            <w:vMerge w:val="continue"/>
            <w:noWrap w:val="0"/>
            <w:vAlign w:val="center"/>
          </w:tcPr>
          <w:p>
            <w:pPr>
              <w:spacing w:line="300" w:lineRule="exact"/>
              <w:jc w:val="left"/>
              <w:outlineLvl w:val="0"/>
            </w:pPr>
          </w:p>
        </w:tc>
        <w:tc>
          <w:tcPr>
            <w:tcW w:w="633" w:type="dxa"/>
            <w:vMerge w:val="continue"/>
            <w:noWrap w:val="0"/>
            <w:vAlign w:val="center"/>
          </w:tcPr>
          <w:p>
            <w:pPr>
              <w:spacing w:line="300" w:lineRule="exact"/>
              <w:jc w:val="left"/>
              <w:outlineLvl w:val="0"/>
            </w:pPr>
          </w:p>
        </w:tc>
        <w:tc>
          <w:tcPr>
            <w:tcW w:w="691" w:type="dxa"/>
            <w:vMerge w:val="continue"/>
            <w:noWrap w:val="0"/>
            <w:vAlign w:val="center"/>
          </w:tcPr>
          <w:p>
            <w:pPr>
              <w:spacing w:line="300" w:lineRule="exact"/>
              <w:jc w:val="left"/>
              <w:outlineLvl w:val="0"/>
            </w:pPr>
          </w:p>
        </w:tc>
        <w:tc>
          <w:tcPr>
            <w:tcW w:w="649" w:type="dxa"/>
            <w:vMerge w:val="continue"/>
            <w:noWrap w:val="0"/>
            <w:vAlign w:val="center"/>
          </w:tcPr>
          <w:p>
            <w:pPr>
              <w:spacing w:line="300" w:lineRule="exact"/>
              <w:jc w:val="left"/>
              <w:outlineLvl w:val="0"/>
            </w:pPr>
          </w:p>
        </w:tc>
        <w:tc>
          <w:tcPr>
            <w:tcW w:w="617" w:type="dxa"/>
            <w:vMerge w:val="continue"/>
            <w:noWrap w:val="0"/>
            <w:vAlign w:val="center"/>
          </w:tcPr>
          <w:p>
            <w:pPr>
              <w:spacing w:line="300" w:lineRule="exact"/>
              <w:jc w:val="left"/>
              <w:outlineLvl w:val="0"/>
            </w:pPr>
          </w:p>
        </w:tc>
        <w:tc>
          <w:tcPr>
            <w:tcW w:w="647" w:type="dxa"/>
            <w:vMerge w:val="continue"/>
            <w:noWrap w:val="0"/>
            <w:vAlign w:val="center"/>
          </w:tcPr>
          <w:p>
            <w:pPr>
              <w:spacing w:line="300" w:lineRule="exact"/>
              <w:jc w:val="left"/>
              <w:outlineLvl w:val="0"/>
            </w:pPr>
          </w:p>
        </w:tc>
        <w:tc>
          <w:tcPr>
            <w:tcW w:w="633" w:type="dxa"/>
            <w:vMerge w:val="continue"/>
            <w:noWrap w:val="0"/>
            <w:vAlign w:val="center"/>
          </w:tcPr>
          <w:p>
            <w:pPr>
              <w:spacing w:line="300" w:lineRule="exact"/>
              <w:jc w:val="left"/>
              <w:outlineLvl w:val="0"/>
            </w:pPr>
          </w:p>
        </w:tc>
        <w:tc>
          <w:tcPr>
            <w:tcW w:w="633"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33"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633"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633"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633" w:type="dxa"/>
            <w:noWrap w:val="0"/>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597" w:type="dxa"/>
            <w:vMerge w:val="continue"/>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center"/>
              <w:rPr>
                <w:rFonts w:ascii="方正书宋_GBK" w:eastAsia="方正书宋_GBK"/>
                <w:b/>
              </w:rPr>
            </w:pPr>
          </w:p>
        </w:tc>
        <w:tc>
          <w:tcPr>
            <w:tcW w:w="762"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left"/>
              <w:rPr>
                <w:rFonts w:hint="eastAsia" w:ascii="方正书宋_GBK" w:eastAsia="方正书宋_GBK"/>
                <w:b/>
              </w:rPr>
            </w:pPr>
          </w:p>
        </w:tc>
        <w:tc>
          <w:tcPr>
            <w:tcW w:w="691" w:type="dxa"/>
            <w:noWrap w:val="0"/>
            <w:vAlign w:val="center"/>
          </w:tcPr>
          <w:p>
            <w:pPr>
              <w:spacing w:line="300" w:lineRule="exact"/>
              <w:jc w:val="left"/>
              <w:rPr>
                <w:rFonts w:ascii="方正书宋_GBK" w:eastAsia="方正书宋_GBK"/>
                <w:b/>
              </w:rPr>
            </w:pPr>
          </w:p>
        </w:tc>
        <w:tc>
          <w:tcPr>
            <w:tcW w:w="649" w:type="dxa"/>
            <w:noWrap w:val="0"/>
            <w:vAlign w:val="center"/>
          </w:tcPr>
          <w:p>
            <w:pPr>
              <w:spacing w:line="300" w:lineRule="exact"/>
              <w:jc w:val="left"/>
              <w:rPr>
                <w:rFonts w:ascii="方正书宋_GBK" w:eastAsia="方正书宋_GBK"/>
                <w:b/>
              </w:rPr>
            </w:pPr>
          </w:p>
        </w:tc>
        <w:tc>
          <w:tcPr>
            <w:tcW w:w="617" w:type="dxa"/>
            <w:noWrap w:val="0"/>
            <w:vAlign w:val="center"/>
          </w:tcPr>
          <w:p>
            <w:pPr>
              <w:spacing w:line="300" w:lineRule="exact"/>
              <w:jc w:val="right"/>
              <w:rPr>
                <w:rFonts w:ascii="方正书宋_GBK" w:eastAsia="方正书宋_GBK"/>
                <w:b/>
              </w:rPr>
            </w:pPr>
          </w:p>
        </w:tc>
        <w:tc>
          <w:tcPr>
            <w:tcW w:w="647"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633" w:type="dxa"/>
            <w:noWrap w:val="0"/>
            <w:vAlign w:val="center"/>
          </w:tcPr>
          <w:p>
            <w:pPr>
              <w:spacing w:line="300" w:lineRule="exact"/>
              <w:jc w:val="right"/>
              <w:rPr>
                <w:rFonts w:ascii="方正书宋_GBK" w:eastAsia="方正书宋_GBK"/>
                <w:b/>
              </w:rPr>
            </w:pPr>
          </w:p>
        </w:tc>
        <w:tc>
          <w:tcPr>
            <w:tcW w:w="597"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noWrap w:val="0"/>
            <w:vAlign w:val="center"/>
          </w:tcPr>
          <w:p>
            <w:pPr>
              <w:spacing w:line="300" w:lineRule="exact"/>
              <w:jc w:val="left"/>
              <w:rPr>
                <w:rFonts w:hint="eastAsia" w:ascii="方正书宋_GBK" w:eastAsia="方正书宋_GBK"/>
              </w:rPr>
            </w:pPr>
          </w:p>
        </w:tc>
        <w:tc>
          <w:tcPr>
            <w:tcW w:w="762"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left"/>
              <w:rPr>
                <w:rFonts w:hint="eastAsia" w:ascii="方正书宋_GBK" w:eastAsia="方正书宋_GBK"/>
              </w:rPr>
            </w:pPr>
          </w:p>
        </w:tc>
        <w:tc>
          <w:tcPr>
            <w:tcW w:w="691" w:type="dxa"/>
            <w:noWrap w:val="0"/>
            <w:vAlign w:val="center"/>
          </w:tcPr>
          <w:p>
            <w:pPr>
              <w:spacing w:line="300" w:lineRule="exact"/>
              <w:jc w:val="left"/>
              <w:rPr>
                <w:rFonts w:ascii="方正书宋_GBK" w:eastAsia="方正书宋_GBK"/>
              </w:rPr>
            </w:pPr>
          </w:p>
        </w:tc>
        <w:tc>
          <w:tcPr>
            <w:tcW w:w="649" w:type="dxa"/>
            <w:noWrap w:val="0"/>
            <w:vAlign w:val="center"/>
          </w:tcPr>
          <w:p>
            <w:pPr>
              <w:spacing w:line="300" w:lineRule="exact"/>
              <w:jc w:val="left"/>
              <w:rPr>
                <w:rFonts w:hint="eastAsia" w:ascii="方正书宋_GBK" w:eastAsia="方正书宋_GBK"/>
              </w:rPr>
            </w:pPr>
          </w:p>
        </w:tc>
        <w:tc>
          <w:tcPr>
            <w:tcW w:w="617" w:type="dxa"/>
            <w:noWrap w:val="0"/>
            <w:vAlign w:val="center"/>
          </w:tcPr>
          <w:p>
            <w:pPr>
              <w:spacing w:line="300" w:lineRule="exact"/>
              <w:jc w:val="right"/>
              <w:rPr>
                <w:rFonts w:ascii="方正书宋_GBK" w:eastAsia="方正书宋_GBK"/>
              </w:rPr>
            </w:pPr>
          </w:p>
        </w:tc>
        <w:tc>
          <w:tcPr>
            <w:tcW w:w="647"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633" w:type="dxa"/>
            <w:noWrap w:val="0"/>
            <w:vAlign w:val="center"/>
          </w:tcPr>
          <w:p>
            <w:pPr>
              <w:spacing w:line="300" w:lineRule="exact"/>
              <w:jc w:val="right"/>
              <w:rPr>
                <w:rFonts w:ascii="方正书宋_GBK" w:eastAsia="方正书宋_GBK"/>
              </w:rPr>
            </w:pPr>
          </w:p>
        </w:tc>
        <w:tc>
          <w:tcPr>
            <w:tcW w:w="597" w:type="dxa"/>
            <w:noWrap w:val="0"/>
            <w:vAlign w:val="center"/>
          </w:tcPr>
          <w:p>
            <w:pPr>
              <w:spacing w:line="300" w:lineRule="exact"/>
              <w:jc w:val="right"/>
              <w:rPr>
                <w:rFonts w:ascii="方正书宋_GBK" w:eastAsia="方正书宋_GBK"/>
              </w:rPr>
            </w:pPr>
          </w:p>
        </w:tc>
      </w:tr>
    </w:tbl>
    <w:p>
      <w:pPr>
        <w:pStyle w:val="8"/>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注：本部门无政府采购预算，空表列示。</w:t>
      </w:r>
    </w:p>
    <w:p>
      <w:pPr>
        <w:spacing w:line="500" w:lineRule="exact"/>
        <w:ind w:firstLine="720" w:firstLineChars="200"/>
        <w:jc w:val="left"/>
        <w:rPr>
          <w:rFonts w:hint="eastAsia" w:ascii="宋体" w:hAnsi="宋体"/>
          <w:sz w:val="36"/>
          <w:szCs w:val="36"/>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spacing w:line="500" w:lineRule="exact"/>
        <w:ind w:firstLine="640" w:firstLineChars="200"/>
        <w:jc w:val="left"/>
        <w:rPr>
          <w:rFonts w:hint="eastAsia" w:ascii="黑体" w:hAnsi="黑体" w:eastAsia="黑体" w:cs="黑体"/>
          <w:sz w:val="32"/>
          <w:szCs w:val="32"/>
          <w:lang w:eastAsia="zh-CN"/>
        </w:rPr>
      </w:pPr>
    </w:p>
    <w:p>
      <w:pPr>
        <w:numPr>
          <w:ilvl w:val="0"/>
          <w:numId w:val="2"/>
        </w:numPr>
        <w:spacing w:line="500" w:lineRule="exact"/>
        <w:ind w:firstLine="640" w:firstLineChars="200"/>
        <w:jc w:val="left"/>
        <w:rPr>
          <w:rFonts w:hint="eastAsia" w:ascii="黑体" w:hAnsi="黑体" w:eastAsia="黑体" w:cs="黑体"/>
          <w:sz w:val="32"/>
          <w:szCs w:val="32"/>
          <w:lang w:eastAsia="zh-CN"/>
        </w:rPr>
      </w:pPr>
      <w:r>
        <w:rPr>
          <w:rFonts w:hint="eastAsia" w:ascii="黑体" w:hAnsi="黑体" w:eastAsia="黑体" w:cs="黑体"/>
          <w:sz w:val="32"/>
          <w:szCs w:val="32"/>
          <w:lang w:eastAsia="zh-CN"/>
        </w:rPr>
        <w:t>国有资产信息</w:t>
      </w:r>
    </w:p>
    <w:p>
      <w:pPr>
        <w:pStyle w:val="2"/>
        <w:numPr>
          <w:ilvl w:val="0"/>
          <w:numId w:val="0"/>
        </w:numPr>
        <w:ind w:firstLine="640" w:firstLineChars="200"/>
        <w:rPr>
          <w:rFonts w:hint="eastAsia"/>
          <w:lang w:eastAsia="zh-CN"/>
        </w:rPr>
      </w:pPr>
      <w:r>
        <w:rPr>
          <w:rFonts w:hint="eastAsia" w:ascii="仿宋" w:hAnsi="仿宋" w:eastAsia="仿宋"/>
          <w:sz w:val="32"/>
          <w:szCs w:val="32"/>
          <w:lang w:eastAsia="zh-CN"/>
        </w:rPr>
        <w:t>共青团藁城区委上年末单位固定资产</w:t>
      </w:r>
      <w:r>
        <w:rPr>
          <w:rFonts w:hint="eastAsia" w:ascii="仿宋" w:hAnsi="仿宋" w:eastAsia="仿宋"/>
          <w:sz w:val="32"/>
          <w:szCs w:val="32"/>
          <w:lang w:val="en-US" w:eastAsia="zh-CN"/>
        </w:rPr>
        <w:t>1.5</w:t>
      </w:r>
      <w:r>
        <w:rPr>
          <w:rFonts w:hint="eastAsia" w:ascii="仿宋" w:hAnsi="仿宋" w:eastAsia="仿宋"/>
          <w:sz w:val="32"/>
          <w:szCs w:val="32"/>
          <w:lang w:eastAsia="zh-CN"/>
        </w:rPr>
        <w:t>万元（详见下表），本年度拟购置固定资产总额为</w:t>
      </w:r>
      <w:r>
        <w:rPr>
          <w:rFonts w:hint="eastAsia" w:ascii="仿宋" w:hAnsi="仿宋" w:eastAsia="仿宋"/>
          <w:sz w:val="32"/>
          <w:szCs w:val="32"/>
          <w:lang w:val="en-US" w:eastAsia="zh-CN"/>
        </w:rPr>
        <w:t>0</w:t>
      </w:r>
      <w:r>
        <w:rPr>
          <w:rFonts w:hint="eastAsia" w:ascii="仿宋" w:hAnsi="仿宋" w:eastAsia="仿宋"/>
          <w:sz w:val="32"/>
          <w:szCs w:val="32"/>
          <w:lang w:eastAsia="zh-CN"/>
        </w:rPr>
        <w:t>万元。</w:t>
      </w:r>
    </w:p>
    <w:tbl>
      <w:tblPr>
        <w:tblStyle w:val="7"/>
        <w:tblW w:w="9400" w:type="dxa"/>
        <w:tblInd w:w="93" w:type="dxa"/>
        <w:tblLayout w:type="fixed"/>
        <w:tblCellMar>
          <w:top w:w="0" w:type="dxa"/>
          <w:left w:w="108" w:type="dxa"/>
          <w:bottom w:w="0" w:type="dxa"/>
          <w:right w:w="108" w:type="dxa"/>
        </w:tblCellMar>
      </w:tblPr>
      <w:tblGrid>
        <w:gridCol w:w="9400"/>
      </w:tblGrid>
      <w:tr>
        <w:tblPrEx>
          <w:tblLayout w:type="fixed"/>
          <w:tblCellMar>
            <w:top w:w="0" w:type="dxa"/>
            <w:left w:w="108" w:type="dxa"/>
            <w:bottom w:w="0" w:type="dxa"/>
            <w:right w:w="108" w:type="dxa"/>
          </w:tblCellMar>
        </w:tblPrEx>
        <w:trPr>
          <w:trHeight w:val="540" w:hRule="atLeast"/>
        </w:trPr>
        <w:tc>
          <w:tcPr>
            <w:tcW w:w="9400" w:type="dxa"/>
            <w:tcBorders>
              <w:top w:val="nil"/>
              <w:left w:val="nil"/>
              <w:bottom w:val="nil"/>
              <w:right w:val="nil"/>
            </w:tcBorders>
            <w:noWrap w:val="0"/>
            <w:vAlign w:val="bottom"/>
          </w:tcPr>
          <w:p>
            <w:pPr>
              <w:widowControl/>
              <w:jc w:val="center"/>
              <w:rPr>
                <w:rFonts w:ascii="宋体" w:hAnsi="宋体" w:cs="Arial"/>
                <w:color w:val="000000"/>
                <w:kern w:val="0"/>
                <w:sz w:val="44"/>
                <w:szCs w:val="44"/>
              </w:rPr>
            </w:pPr>
            <w:r>
              <w:rPr>
                <w:rFonts w:hint="eastAsia" w:ascii="宋体" w:hAnsi="宋体" w:cs="Arial"/>
                <w:b/>
                <w:bCs/>
                <w:color w:val="000000"/>
                <w:kern w:val="0"/>
                <w:sz w:val="32"/>
                <w:szCs w:val="32"/>
                <w:lang w:eastAsia="zh-CN"/>
              </w:rPr>
              <w:t>固定</w:t>
            </w:r>
            <w:r>
              <w:rPr>
                <w:rFonts w:hint="eastAsia" w:ascii="宋体" w:hAnsi="宋体" w:cs="Arial"/>
                <w:b/>
                <w:bCs/>
                <w:color w:val="000000"/>
                <w:kern w:val="0"/>
                <w:sz w:val="32"/>
                <w:szCs w:val="32"/>
              </w:rPr>
              <w:t>资产</w:t>
            </w:r>
            <w:r>
              <w:rPr>
                <w:rFonts w:hint="eastAsia" w:ascii="宋体" w:hAnsi="宋体" w:cs="Arial"/>
                <w:b/>
                <w:bCs/>
                <w:color w:val="000000"/>
                <w:kern w:val="0"/>
                <w:sz w:val="32"/>
                <w:szCs w:val="32"/>
                <w:lang w:eastAsia="zh-CN"/>
              </w:rPr>
              <w:t>占用</w:t>
            </w:r>
            <w:r>
              <w:rPr>
                <w:rFonts w:hint="eastAsia" w:ascii="宋体" w:hAnsi="宋体" w:cs="Arial"/>
                <w:b/>
                <w:bCs/>
                <w:color w:val="000000"/>
                <w:kern w:val="0"/>
                <w:sz w:val="32"/>
                <w:szCs w:val="32"/>
              </w:rPr>
              <w:t>情况表</w:t>
            </w:r>
          </w:p>
        </w:tc>
      </w:tr>
    </w:tbl>
    <w:p>
      <w:pPr>
        <w:pStyle w:val="8"/>
        <w:rPr>
          <w:rFonts w:hint="eastAsia" w:ascii="仿宋" w:hAnsi="仿宋" w:eastAsia="仿宋"/>
          <w:szCs w:val="24"/>
          <w:lang w:eastAsia="zh-CN"/>
        </w:rPr>
      </w:pPr>
      <w:r>
        <w:rPr>
          <w:rFonts w:hint="eastAsia" w:ascii="仿宋" w:hAnsi="仿宋" w:eastAsia="仿宋"/>
          <w:szCs w:val="24"/>
          <w:lang w:eastAsia="zh-CN"/>
        </w:rPr>
        <w:t>编制部门：石家庄市藁城团区委                    截止时间：201</w:t>
      </w:r>
      <w:r>
        <w:rPr>
          <w:rFonts w:hint="eastAsia" w:ascii="仿宋" w:hAnsi="仿宋" w:eastAsia="仿宋"/>
          <w:szCs w:val="24"/>
          <w:lang w:val="en-US" w:eastAsia="zh-CN"/>
        </w:rPr>
        <w:t>9年</w:t>
      </w:r>
      <w:r>
        <w:rPr>
          <w:rFonts w:hint="eastAsia" w:ascii="仿宋" w:hAnsi="仿宋" w:eastAsia="仿宋"/>
          <w:szCs w:val="24"/>
          <w:lang w:eastAsia="zh-CN"/>
        </w:rPr>
        <w:t>12月31日</w:t>
      </w:r>
    </w:p>
    <w:p>
      <w:pPr>
        <w:pStyle w:val="8"/>
        <w:rPr>
          <w:rFonts w:hint="eastAsia" w:ascii="仿宋" w:hAnsi="仿宋" w:eastAsia="仿宋"/>
          <w:szCs w:val="24"/>
          <w:lang w:eastAsia="zh-CN"/>
        </w:rPr>
      </w:pPr>
    </w:p>
    <w:tbl>
      <w:tblPr>
        <w:tblStyle w:val="7"/>
        <w:tblW w:w="98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5"/>
        <w:gridCol w:w="2074"/>
        <w:gridCol w:w="4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noWrap w:val="0"/>
            <w:vAlign w:val="top"/>
          </w:tcPr>
          <w:p>
            <w:pPr>
              <w:pStyle w:val="8"/>
              <w:jc w:val="center"/>
              <w:rPr>
                <w:rFonts w:hint="eastAsia" w:ascii="仿宋" w:hAnsi="仿宋" w:eastAsia="仿宋"/>
                <w:szCs w:val="24"/>
                <w:lang w:eastAsia="zh-CN"/>
              </w:rPr>
            </w:pPr>
            <w:r>
              <w:rPr>
                <w:rFonts w:hint="eastAsia" w:ascii="仿宋" w:hAnsi="仿宋" w:eastAsia="仿宋"/>
                <w:szCs w:val="24"/>
                <w:lang w:eastAsia="zh-CN"/>
              </w:rPr>
              <w:t>项目</w:t>
            </w:r>
          </w:p>
        </w:tc>
        <w:tc>
          <w:tcPr>
            <w:tcW w:w="2074" w:type="dxa"/>
            <w:noWrap w:val="0"/>
            <w:vAlign w:val="top"/>
          </w:tcPr>
          <w:p>
            <w:pPr>
              <w:pStyle w:val="8"/>
              <w:jc w:val="center"/>
              <w:rPr>
                <w:rFonts w:hint="eastAsia" w:ascii="仿宋" w:hAnsi="仿宋" w:eastAsia="仿宋"/>
                <w:szCs w:val="24"/>
                <w:lang w:eastAsia="zh-CN"/>
              </w:rPr>
            </w:pPr>
            <w:r>
              <w:rPr>
                <w:rFonts w:hint="eastAsia" w:ascii="仿宋" w:hAnsi="仿宋" w:eastAsia="仿宋"/>
                <w:szCs w:val="24"/>
                <w:lang w:eastAsia="zh-CN"/>
              </w:rPr>
              <w:t>数量</w:t>
            </w:r>
          </w:p>
        </w:tc>
        <w:tc>
          <w:tcPr>
            <w:tcW w:w="4516" w:type="dxa"/>
            <w:noWrap w:val="0"/>
            <w:vAlign w:val="top"/>
          </w:tcPr>
          <w:p>
            <w:pPr>
              <w:pStyle w:val="8"/>
              <w:jc w:val="center"/>
              <w:rPr>
                <w:rFonts w:hint="eastAsia" w:ascii="仿宋" w:hAnsi="仿宋" w:eastAsia="仿宋"/>
                <w:szCs w:val="24"/>
                <w:lang w:eastAsia="zh-CN"/>
              </w:rPr>
            </w:pPr>
            <w:r>
              <w:rPr>
                <w:rFonts w:hint="eastAsia" w:ascii="仿宋" w:hAnsi="仿宋" w:eastAsia="仿宋"/>
                <w:szCs w:val="24"/>
                <w:lang w:eastAsia="zh-CN"/>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noWrap w:val="0"/>
            <w:vAlign w:val="top"/>
          </w:tcPr>
          <w:p>
            <w:pPr>
              <w:pStyle w:val="8"/>
              <w:jc w:val="center"/>
              <w:rPr>
                <w:rFonts w:hint="eastAsia" w:ascii="仿宋" w:hAnsi="仿宋" w:eastAsia="仿宋"/>
                <w:szCs w:val="24"/>
                <w:lang w:eastAsia="zh-CN"/>
              </w:rPr>
            </w:pPr>
            <w:r>
              <w:rPr>
                <w:rFonts w:hint="eastAsia" w:ascii="仿宋" w:hAnsi="仿宋" w:eastAsia="仿宋"/>
                <w:szCs w:val="24"/>
                <w:lang w:eastAsia="zh-CN"/>
              </w:rPr>
              <w:t>资产总额</w:t>
            </w:r>
          </w:p>
        </w:tc>
        <w:tc>
          <w:tcPr>
            <w:tcW w:w="2074" w:type="dxa"/>
            <w:noWrap w:val="0"/>
            <w:vAlign w:val="top"/>
          </w:tcPr>
          <w:p>
            <w:pPr>
              <w:pStyle w:val="8"/>
              <w:jc w:val="center"/>
              <w:rPr>
                <w:rFonts w:hint="eastAsia" w:ascii="仿宋" w:hAnsi="仿宋" w:eastAsia="仿宋"/>
                <w:szCs w:val="24"/>
                <w:lang w:eastAsia="zh-CN"/>
              </w:rPr>
            </w:pPr>
            <w:r>
              <w:rPr>
                <w:rFonts w:hint="eastAsia" w:ascii="仿宋" w:hAnsi="仿宋" w:eastAsia="仿宋"/>
                <w:szCs w:val="24"/>
                <w:lang w:eastAsia="zh-CN"/>
              </w:rPr>
              <w:t>--</w:t>
            </w:r>
          </w:p>
        </w:tc>
        <w:tc>
          <w:tcPr>
            <w:tcW w:w="4516" w:type="dxa"/>
            <w:noWrap w:val="0"/>
            <w:vAlign w:val="top"/>
          </w:tcPr>
          <w:p>
            <w:pPr>
              <w:pStyle w:val="8"/>
              <w:jc w:val="center"/>
              <w:rPr>
                <w:rFonts w:hint="eastAsia" w:ascii="仿宋" w:hAnsi="仿宋" w:eastAsia="仿宋"/>
                <w:szCs w:val="24"/>
                <w:lang w:val="en-US" w:eastAsia="zh-CN"/>
              </w:rPr>
            </w:pPr>
            <w:r>
              <w:rPr>
                <w:rFonts w:hint="eastAsia" w:ascii="仿宋" w:hAnsi="仿宋" w:eastAsia="仿宋"/>
                <w:szCs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noWrap w:val="0"/>
            <w:vAlign w:val="top"/>
          </w:tcPr>
          <w:p>
            <w:pPr>
              <w:pStyle w:val="8"/>
              <w:rPr>
                <w:rFonts w:hint="eastAsia" w:ascii="仿宋" w:hAnsi="仿宋" w:eastAsia="仿宋"/>
                <w:szCs w:val="24"/>
                <w:lang w:eastAsia="zh-CN"/>
              </w:rPr>
            </w:pPr>
            <w:r>
              <w:rPr>
                <w:rFonts w:hint="eastAsia" w:ascii="仿宋" w:hAnsi="仿宋" w:eastAsia="仿宋"/>
                <w:szCs w:val="24"/>
                <w:lang w:eastAsia="zh-CN"/>
              </w:rPr>
              <w:t>1.房屋（平方米）</w:t>
            </w: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rPr>
                <w:rFonts w:hint="eastAsia"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noWrap w:val="0"/>
            <w:vAlign w:val="top"/>
          </w:tcPr>
          <w:p>
            <w:pPr>
              <w:pStyle w:val="8"/>
              <w:rPr>
                <w:rFonts w:hint="eastAsia" w:ascii="仿宋" w:hAnsi="仿宋" w:eastAsia="仿宋"/>
                <w:szCs w:val="24"/>
                <w:lang w:eastAsia="zh-CN"/>
              </w:rPr>
            </w:pPr>
            <w:r>
              <w:rPr>
                <w:rFonts w:hint="eastAsia" w:ascii="仿宋" w:hAnsi="仿宋" w:eastAsia="仿宋"/>
                <w:szCs w:val="24"/>
                <w:lang w:eastAsia="zh-CN"/>
              </w:rPr>
              <w:t>其中办公用房（平方米）</w:t>
            </w: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rPr>
                <w:rFonts w:hint="eastAsia"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noWrap w:val="0"/>
            <w:vAlign w:val="top"/>
          </w:tcPr>
          <w:p>
            <w:pPr>
              <w:pStyle w:val="8"/>
              <w:rPr>
                <w:rFonts w:hint="eastAsia" w:ascii="仿宋" w:hAnsi="仿宋" w:eastAsia="仿宋"/>
                <w:szCs w:val="24"/>
                <w:lang w:eastAsia="zh-CN"/>
              </w:rPr>
            </w:pPr>
            <w:r>
              <w:rPr>
                <w:rFonts w:hint="eastAsia" w:ascii="仿宋" w:hAnsi="仿宋" w:eastAsia="仿宋"/>
                <w:szCs w:val="24"/>
                <w:lang w:eastAsia="zh-CN"/>
              </w:rPr>
              <w:t>2.车辆（台、辆）</w:t>
            </w: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rPr>
                <w:rFonts w:hint="eastAsia"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noWrap w:val="0"/>
            <w:vAlign w:val="top"/>
          </w:tcPr>
          <w:p>
            <w:pPr>
              <w:pStyle w:val="8"/>
              <w:rPr>
                <w:rFonts w:hint="eastAsia" w:ascii="仿宋" w:hAnsi="仿宋" w:eastAsia="仿宋"/>
                <w:szCs w:val="24"/>
                <w:lang w:eastAsia="zh-CN"/>
              </w:rPr>
            </w:pPr>
            <w:r>
              <w:rPr>
                <w:rFonts w:hint="eastAsia" w:ascii="仿宋" w:hAnsi="仿宋" w:eastAsia="仿宋"/>
                <w:szCs w:val="24"/>
                <w:lang w:eastAsia="zh-CN"/>
              </w:rPr>
              <w:t>3、单价在20万元以上的设备</w:t>
            </w: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rPr>
                <w:rFonts w:hint="eastAsia"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noWrap w:val="0"/>
            <w:vAlign w:val="top"/>
          </w:tcPr>
          <w:p>
            <w:pPr>
              <w:pStyle w:val="8"/>
              <w:rPr>
                <w:rFonts w:hint="eastAsia" w:ascii="仿宋" w:hAnsi="仿宋" w:eastAsia="仿宋"/>
                <w:szCs w:val="24"/>
                <w:lang w:eastAsia="zh-CN"/>
              </w:rPr>
            </w:pPr>
            <w:r>
              <w:rPr>
                <w:rFonts w:hint="eastAsia" w:ascii="仿宋" w:hAnsi="仿宋" w:eastAsia="仿宋"/>
                <w:szCs w:val="24"/>
                <w:lang w:eastAsia="zh-CN"/>
              </w:rPr>
              <w:t>4、其它固定资产</w:t>
            </w: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jc w:val="center"/>
              <w:rPr>
                <w:rFonts w:hint="eastAsia" w:ascii="仿宋" w:hAnsi="仿宋" w:eastAsia="仿宋"/>
                <w:szCs w:val="24"/>
                <w:lang w:val="en-US" w:eastAsia="zh-CN"/>
              </w:rPr>
            </w:pPr>
            <w:r>
              <w:rPr>
                <w:rFonts w:hint="eastAsia" w:ascii="仿宋" w:hAnsi="仿宋" w:eastAsia="仿宋"/>
                <w:szCs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noWrap w:val="0"/>
            <w:vAlign w:val="top"/>
          </w:tcPr>
          <w:p>
            <w:pPr>
              <w:pStyle w:val="8"/>
              <w:rPr>
                <w:rFonts w:hint="eastAsia" w:ascii="仿宋" w:hAnsi="仿宋" w:eastAsia="仿宋"/>
                <w:szCs w:val="24"/>
                <w:lang w:eastAsia="zh-CN"/>
              </w:rPr>
            </w:pPr>
          </w:p>
        </w:tc>
        <w:tc>
          <w:tcPr>
            <w:tcW w:w="2074" w:type="dxa"/>
            <w:noWrap w:val="0"/>
            <w:vAlign w:val="top"/>
          </w:tcPr>
          <w:p>
            <w:pPr>
              <w:pStyle w:val="8"/>
              <w:rPr>
                <w:rFonts w:hint="eastAsia" w:ascii="仿宋" w:hAnsi="仿宋" w:eastAsia="仿宋"/>
                <w:szCs w:val="24"/>
                <w:lang w:eastAsia="zh-CN"/>
              </w:rPr>
            </w:pPr>
          </w:p>
        </w:tc>
        <w:tc>
          <w:tcPr>
            <w:tcW w:w="4516" w:type="dxa"/>
            <w:noWrap w:val="0"/>
            <w:vAlign w:val="top"/>
          </w:tcPr>
          <w:p>
            <w:pPr>
              <w:pStyle w:val="8"/>
              <w:rPr>
                <w:rFonts w:hint="eastAsia" w:ascii="仿宋" w:hAnsi="仿宋" w:eastAsia="仿宋"/>
                <w:szCs w:val="24"/>
                <w:lang w:eastAsia="zh-CN"/>
              </w:rPr>
            </w:pPr>
          </w:p>
        </w:tc>
      </w:tr>
    </w:tbl>
    <w:p>
      <w:pPr>
        <w:pStyle w:val="8"/>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pStyle w:val="8"/>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九、其他需要说明的事项</w:t>
      </w:r>
    </w:p>
    <w:p>
      <w:pPr>
        <w:pStyle w:val="8"/>
        <w:ind w:firstLine="640" w:firstLineChars="200"/>
        <w:rPr>
          <w:rFonts w:hint="eastAsia" w:ascii="Times New Roman" w:hAnsi="Times New Roman" w:eastAsia="仿宋" w:cs="Times New Roman"/>
          <w:kern w:val="2"/>
          <w:sz w:val="32"/>
          <w:szCs w:val="32"/>
          <w:lang w:val="en-US" w:eastAsia="zh-CN" w:bidi="ar-SA"/>
        </w:rPr>
      </w:pPr>
      <w:r>
        <w:rPr>
          <w:rFonts w:hint="eastAsia" w:ascii="Times New Roman" w:hAnsi="Times New Roman" w:eastAsia="仿宋" w:cs="Times New Roman"/>
          <w:kern w:val="2"/>
          <w:sz w:val="32"/>
          <w:szCs w:val="32"/>
          <w:lang w:val="en-US" w:eastAsia="zh-CN" w:bidi="ar-SA"/>
        </w:rPr>
        <w:t>我部门无其他需要说明的事项</w:t>
      </w:r>
    </w:p>
    <w:p/>
    <w:p/>
    <w:sectPr>
      <w:headerReference r:id="rId4" w:type="default"/>
      <w:footerReference r:id="rId5" w:type="default"/>
      <w:footerReference r:id="rId6" w:type="even"/>
      <w:pgSz w:w="11907" w:h="16839"/>
      <w:pgMar w:top="1020" w:right="1134" w:bottom="102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3000509000000000000"/>
    <w:charset w:val="86"/>
    <w:family w:val="script"/>
    <w:pitch w:val="default"/>
    <w:sig w:usb0="00000000" w:usb1="00000000" w:usb2="00000010" w:usb3="00000000" w:csb0="00040000" w:csb1="00000000"/>
  </w:font>
  <w:font w:name="方正仿宋_GBK">
    <w:altName w:val="微软雅黑"/>
    <w:panose1 w:val="00000000000000000000"/>
    <w:charset w:val="86"/>
    <w:family w:val="roman"/>
    <w:pitch w:val="default"/>
    <w:sig w:usb0="00000000" w:usb1="00000000" w:usb2="00000000"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6"/>
      </w:rPr>
    </w:pPr>
    <w:r>
      <w:fldChar w:fldCharType="begin"/>
    </w:r>
    <w:r>
      <w:rPr>
        <w:rStyle w:val="6"/>
      </w:rPr>
      <w:instrText xml:space="preserve">PAGE  </w:instrText>
    </w:r>
    <w:r>
      <w:fldChar w:fldCharType="separate"/>
    </w:r>
    <w:r>
      <w:rPr>
        <w:rStyle w:val="6"/>
      </w:rPr>
      <w:t>7</w:t>
    </w:r>
    <w: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6"/>
      </w:rPr>
    </w:pPr>
    <w:r>
      <w:fldChar w:fldCharType="begin"/>
    </w:r>
    <w:r>
      <w:rPr>
        <w:rStyle w:val="6"/>
      </w:rPr>
      <w:instrText xml:space="preserve">PAGE  </w:instrText>
    </w:r>
    <w:r>
      <w:fldChar w:fldCharType="separate"/>
    </w:r>
    <w:r>
      <w:fldChar w:fldCharType="end"/>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DF4D34"/>
    <w:multiLevelType w:val="singleLevel"/>
    <w:tmpl w:val="9DDF4D34"/>
    <w:lvl w:ilvl="0" w:tentative="0">
      <w:start w:val="7"/>
      <w:numFmt w:val="chineseCounting"/>
      <w:suff w:val="nothing"/>
      <w:lvlText w:val="%1、"/>
      <w:lvlJc w:val="left"/>
      <w:rPr>
        <w:rFonts w:hint="eastAsia"/>
      </w:rPr>
    </w:lvl>
  </w:abstractNum>
  <w:abstractNum w:abstractNumId="1">
    <w:nsid w:val="488C5397"/>
    <w:multiLevelType w:val="singleLevel"/>
    <w:tmpl w:val="488C5397"/>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EB0EE9"/>
    <w:rsid w:val="07112B41"/>
    <w:rsid w:val="30EB0EE9"/>
    <w:rsid w:val="3C3D00FC"/>
    <w:rsid w:val="42803B6F"/>
    <w:rsid w:val="4613325D"/>
    <w:rsid w:val="4C147778"/>
    <w:rsid w:val="4C767173"/>
    <w:rsid w:val="53D556D6"/>
    <w:rsid w:val="5D521ABD"/>
    <w:rsid w:val="5E2C2AF9"/>
    <w:rsid w:val="5F441D26"/>
    <w:rsid w:val="66EB7298"/>
    <w:rsid w:val="68F77393"/>
    <w:rsid w:val="70832246"/>
    <w:rsid w:val="756A08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customStyle="1"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character" w:styleId="6">
    <w:name w:val="page number"/>
    <w:basedOn w:val="5"/>
    <w:qFormat/>
    <w:uiPriority w:val="0"/>
  </w:style>
  <w:style w:type="paragraph" w:customStyle="1" w:styleId="8">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2020-02-19T07:52:00Z</dcterms:created>
  <dc:creator>002</dc:creator>
  <cp:lastModifiedBy>Administrator</cp:lastModifiedBy>
  <dcterms:modified xsi:type="dcterms:W3CDTF">2021-05-27T02:16:17Z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