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lang w:eastAsia="zh-CN"/>
                    </w:rPr>
                    <w:t>石家庄市藁城区梅花镇人民政府</w:t>
                  </w: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val="en-US" w:eastAsia="zh-CN"/>
        </w:rPr>
        <w:t>10</w:t>
      </w:r>
      <w:r>
        <w:rPr>
          <w:rFonts w:hint="eastAsia" w:ascii="楷体_GB2312" w:hAnsi="楷体" w:eastAsia="楷体_GB2312" w:cs="楷体"/>
          <w:b/>
          <w:sz w:val="40"/>
          <w:szCs w:val="40"/>
        </w:rPr>
        <w:t>月</w:t>
      </w:r>
      <w:r>
        <w:rPr>
          <w:rFonts w:hint="eastAsia" w:ascii="楷体_GB2312" w:hAnsi="楷体" w:eastAsia="楷体_GB2312" w:cs="楷体"/>
          <w:b/>
          <w:sz w:val="40"/>
          <w:szCs w:val="40"/>
          <w:lang w:val="en-US" w:eastAsia="zh-CN"/>
        </w:rPr>
        <w:t>29</w:t>
      </w:r>
      <w:r>
        <w:rPr>
          <w:rFonts w:hint="eastAsia" w:ascii="楷体_GB2312" w:hAnsi="楷体" w:eastAsia="楷体_GB2312" w:cs="楷体"/>
          <w:b/>
          <w:sz w:val="40"/>
          <w:szCs w:val="40"/>
        </w:rPr>
        <w:t>日</w:t>
      </w:r>
    </w:p>
    <w:p>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75648;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梅花镇</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74624;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257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62336;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ind w:firstLine="640" w:firstLineChars="200"/>
        <w:rPr>
          <w:rFonts w:asciiTheme="minorEastAsia" w:hAnsiTheme="minorEastAsia"/>
          <w:sz w:val="32"/>
          <w:szCs w:val="32"/>
        </w:rPr>
      </w:pPr>
      <w:r>
        <w:rPr>
          <w:rFonts w:hint="eastAsia" w:asciiTheme="minorEastAsia" w:hAnsiTheme="minorEastAsia"/>
          <w:sz w:val="32"/>
          <w:szCs w:val="32"/>
        </w:rPr>
        <w:t>一、政务管理：依法依</w:t>
      </w:r>
      <w:r>
        <w:rPr>
          <w:rFonts w:hint="eastAsia" w:asciiTheme="minorEastAsia" w:hAnsiTheme="minorEastAsia"/>
          <w:sz w:val="32"/>
          <w:szCs w:val="32"/>
          <w:lang w:eastAsia="zh-CN"/>
        </w:rPr>
        <w:t>规</w:t>
      </w:r>
      <w:r>
        <w:rPr>
          <w:rFonts w:hint="eastAsia" w:asciiTheme="minorEastAsia" w:hAnsiTheme="minorEastAsia"/>
          <w:sz w:val="32"/>
          <w:szCs w:val="32"/>
        </w:rPr>
        <w:t>完成工作任务，推进科学决策。做好各类突发事件得到及时处理，确保机关工作正常运行。</w:t>
      </w:r>
    </w:p>
    <w:p>
      <w:pPr>
        <w:ind w:firstLine="640" w:firstLineChars="200"/>
        <w:rPr>
          <w:rFonts w:asciiTheme="minorEastAsia" w:hAnsiTheme="minorEastAsia"/>
          <w:sz w:val="32"/>
          <w:szCs w:val="32"/>
        </w:rPr>
      </w:pPr>
      <w:r>
        <w:rPr>
          <w:rFonts w:hint="eastAsia" w:asciiTheme="minorEastAsia" w:hAnsiTheme="minorEastAsia"/>
          <w:sz w:val="32"/>
          <w:szCs w:val="32"/>
        </w:rPr>
        <w:t>二、经济发展：制定经济发展规划，促进民营企业发展，招商引资发展支柱产业。</w:t>
      </w:r>
    </w:p>
    <w:p>
      <w:pPr>
        <w:ind w:firstLine="640" w:firstLineChars="200"/>
        <w:rPr>
          <w:rFonts w:asciiTheme="minorEastAsia" w:hAnsiTheme="minorEastAsia"/>
          <w:sz w:val="32"/>
          <w:szCs w:val="32"/>
        </w:rPr>
      </w:pPr>
      <w:r>
        <w:rPr>
          <w:rFonts w:hint="eastAsia" w:asciiTheme="minorEastAsia" w:hAnsiTheme="minorEastAsia"/>
          <w:sz w:val="32"/>
          <w:szCs w:val="32"/>
        </w:rPr>
        <w:t>三、社会救助政策及管理：保证农民生活最低保障，缓解困难家庭的生活困难。</w:t>
      </w:r>
    </w:p>
    <w:p>
      <w:pPr>
        <w:ind w:firstLine="640" w:firstLineChars="200"/>
        <w:rPr>
          <w:rFonts w:asciiTheme="minorEastAsia" w:hAnsiTheme="minorEastAsia"/>
          <w:sz w:val="32"/>
          <w:szCs w:val="32"/>
        </w:rPr>
      </w:pPr>
      <w:r>
        <w:rPr>
          <w:rFonts w:hint="eastAsia" w:asciiTheme="minorEastAsia" w:hAnsiTheme="minorEastAsia"/>
          <w:sz w:val="32"/>
          <w:szCs w:val="32"/>
        </w:rPr>
        <w:t>四、计划生育：增强群众自觉实行计划生育，稳定生育水平，计生户家庭得到奖励扶助，保障计划生育法的落实。</w:t>
      </w:r>
    </w:p>
    <w:p>
      <w:pPr>
        <w:ind w:firstLine="640" w:firstLineChars="200"/>
        <w:rPr>
          <w:rFonts w:asciiTheme="minorEastAsia" w:hAnsiTheme="minorEastAsia"/>
          <w:sz w:val="32"/>
          <w:szCs w:val="32"/>
        </w:rPr>
      </w:pPr>
      <w:r>
        <w:rPr>
          <w:rFonts w:hint="eastAsia" w:asciiTheme="minorEastAsia" w:hAnsiTheme="minorEastAsia"/>
          <w:sz w:val="32"/>
          <w:szCs w:val="32"/>
        </w:rPr>
        <w:t>五、农业生产：发挥农业科技支撑作用，通过新技术成果的展示，辐射带动全镇适宜区域的农业行业技术推广应用。</w:t>
      </w:r>
    </w:p>
    <w:p>
      <w:pPr>
        <w:ind w:firstLine="640" w:firstLineChars="200"/>
        <w:rPr>
          <w:rFonts w:asciiTheme="minorEastAsia" w:hAnsiTheme="minorEastAsia"/>
          <w:sz w:val="32"/>
          <w:szCs w:val="32"/>
        </w:rPr>
      </w:pPr>
      <w:r>
        <w:rPr>
          <w:rFonts w:hint="eastAsia" w:asciiTheme="minorEastAsia" w:hAnsiTheme="minorEastAsia"/>
          <w:sz w:val="32"/>
          <w:szCs w:val="32"/>
        </w:rPr>
        <w:t>六、城镇建设：对镇村道路进行建设，达到全覆盖。完成农村面貌改造提升的全面提升。</w:t>
      </w:r>
    </w:p>
    <w:p>
      <w:pPr>
        <w:ind w:firstLine="640" w:firstLineChars="200"/>
        <w:rPr>
          <w:rFonts w:asciiTheme="minorEastAsia" w:hAnsiTheme="minorEastAsia"/>
          <w:sz w:val="32"/>
          <w:szCs w:val="32"/>
        </w:rPr>
      </w:pPr>
      <w:r>
        <w:rPr>
          <w:rFonts w:hint="eastAsia" w:asciiTheme="minorEastAsia" w:hAnsiTheme="minorEastAsia"/>
          <w:sz w:val="32"/>
          <w:szCs w:val="32"/>
        </w:rPr>
        <w:t>七、文教卫生：配合教育、科技、文体、卫生等部门搞好义务教育，保障中小学正常运转，普及推广科学技术，丰富农村文化生活，推行合作医疗。</w:t>
      </w:r>
    </w:p>
    <w:p>
      <w:pPr>
        <w:ind w:firstLine="640" w:firstLineChars="200"/>
        <w:rPr>
          <w:rFonts w:hint="eastAsia" w:ascii="黑体" w:eastAsia="黑体" w:cs="黑体" w:hAnsiTheme="minorHAnsi"/>
          <w:b w:val="0"/>
          <w:bCs w:val="0"/>
          <w:kern w:val="0"/>
          <w:sz w:val="32"/>
          <w:szCs w:val="32"/>
        </w:rPr>
      </w:pPr>
      <w:r>
        <w:rPr>
          <w:rFonts w:hint="eastAsia" w:asciiTheme="minorEastAsia" w:hAnsiTheme="minorEastAsia"/>
          <w:sz w:val="32"/>
          <w:szCs w:val="32"/>
        </w:rPr>
        <w:t>八、社会综合治理：预防减少不稳定因素的发生，有效缓解不稳定隐患、群体性事件和突发事件，维护国家安全工作。</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 xml:space="preserve">从决算编报单位构成看，纳入2018 年度本部门决算汇编范围的独立核算单位（以下简称“单位”）共 </w:t>
      </w:r>
      <w:r>
        <w:rPr>
          <w:rFonts w:hint="eastAsia" w:ascii="仿宋_GB2312" w:eastAsia="仿宋_GB2312" w:cs="ArialUnicodeMS" w:hAnsiTheme="minorHAnsi"/>
          <w:kern w:val="0"/>
          <w:sz w:val="32"/>
          <w:szCs w:val="32"/>
          <w:lang w:val="en-US" w:eastAsia="zh-CN"/>
        </w:rPr>
        <w:t>2</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2778"/>
        <w:gridCol w:w="3152"/>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2778"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3152"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2778"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石家庄市藁城区梅花镇人民政府</w:t>
            </w:r>
          </w:p>
        </w:tc>
        <w:tc>
          <w:tcPr>
            <w:tcW w:w="3152"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行政单位</w:t>
            </w:r>
          </w:p>
        </w:tc>
        <w:tc>
          <w:tcPr>
            <w:tcW w:w="266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2778"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石家庄市藁城区梅花学区</w:t>
            </w:r>
          </w:p>
        </w:tc>
        <w:tc>
          <w:tcPr>
            <w:tcW w:w="3152"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财政补助事业单位</w:t>
            </w:r>
          </w:p>
        </w:tc>
        <w:tc>
          <w:tcPr>
            <w:tcW w:w="266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80.2pt;margin-top:156.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8486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年度结转和结余0万元，本年收入</w:t>
      </w:r>
      <w:r>
        <w:rPr>
          <w:rFonts w:hint="eastAsia" w:ascii="仿宋_GB2312" w:eastAsia="仿宋_GB2312" w:cs="DengXian-Regular"/>
          <w:sz w:val="32"/>
          <w:szCs w:val="32"/>
          <w:lang w:val="en-US" w:eastAsia="zh-CN"/>
        </w:rPr>
        <w:t>7501.18</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7501.18</w:t>
      </w:r>
      <w:r>
        <w:rPr>
          <w:rFonts w:hint="eastAsia" w:ascii="仿宋_GB2312" w:eastAsia="仿宋_GB2312" w:cs="DengXian-Regular"/>
          <w:sz w:val="32"/>
          <w:szCs w:val="32"/>
        </w:rPr>
        <w:t>万元，与 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 xml:space="preserve"> 年度决算相比，本年收入增加 </w:t>
      </w:r>
      <w:r>
        <w:rPr>
          <w:rFonts w:hint="eastAsia" w:ascii="仿宋_GB2312" w:eastAsia="仿宋_GB2312" w:cs="DengXian-Regular"/>
          <w:sz w:val="32"/>
          <w:szCs w:val="32"/>
          <w:lang w:val="en-US" w:eastAsia="zh-CN"/>
        </w:rPr>
        <w:t>1140.98</w:t>
      </w:r>
      <w:r>
        <w:rPr>
          <w:rFonts w:hint="eastAsia" w:ascii="仿宋_GB2312" w:eastAsia="仿宋_GB2312" w:cs="DengXian-Regular"/>
          <w:sz w:val="32"/>
          <w:szCs w:val="32"/>
        </w:rPr>
        <w:t xml:space="preserve">万元， 增加 </w:t>
      </w:r>
      <w:r>
        <w:rPr>
          <w:rFonts w:hint="eastAsia" w:ascii="仿宋_GB2312" w:eastAsia="仿宋_GB2312" w:cs="DengXian-Regular"/>
          <w:sz w:val="32"/>
          <w:szCs w:val="32"/>
          <w:lang w:val="en-US" w:eastAsia="zh-CN"/>
        </w:rPr>
        <w:t>17.94</w:t>
      </w:r>
      <w:r>
        <w:rPr>
          <w:rFonts w:hint="eastAsia" w:ascii="仿宋_GB2312" w:eastAsia="仿宋_GB2312" w:cs="DengXian-Regular"/>
          <w:sz w:val="32"/>
          <w:szCs w:val="32"/>
        </w:rPr>
        <w:t xml:space="preserve">%；本年支出增加 </w:t>
      </w:r>
      <w:r>
        <w:rPr>
          <w:rFonts w:hint="eastAsia" w:ascii="仿宋_GB2312" w:eastAsia="仿宋_GB2312" w:cs="DengXian-Regular"/>
          <w:sz w:val="32"/>
          <w:szCs w:val="32"/>
          <w:lang w:val="en-US" w:eastAsia="zh-CN"/>
        </w:rPr>
        <w:t>1140.98</w:t>
      </w:r>
      <w:r>
        <w:rPr>
          <w:rFonts w:hint="eastAsia" w:ascii="仿宋_GB2312" w:eastAsia="仿宋_GB2312" w:cs="DengXian-Regular"/>
          <w:sz w:val="32"/>
          <w:szCs w:val="32"/>
        </w:rPr>
        <w:t xml:space="preserve">万元，增加 </w:t>
      </w:r>
      <w:r>
        <w:rPr>
          <w:rFonts w:hint="eastAsia" w:ascii="仿宋_GB2312" w:eastAsia="仿宋_GB2312" w:cs="DengXian-Regular"/>
          <w:sz w:val="32"/>
          <w:szCs w:val="32"/>
          <w:lang w:val="en-US" w:eastAsia="zh-CN"/>
        </w:rPr>
        <w:t>17.94</w:t>
      </w:r>
      <w:r>
        <w:rPr>
          <w:rFonts w:hint="eastAsia" w:ascii="仿宋_GB2312" w:eastAsia="仿宋_GB2312" w:cs="DengXian-Regular"/>
          <w:sz w:val="32"/>
          <w:szCs w:val="32"/>
        </w:rPr>
        <w:t>%。收支增加的主要原因是，税收增加，可用财力增加。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7501.18</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7501.18</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x%；其他收入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rPr>
          <w:rFonts w:ascii="黑体" w:eastAsia="黑体"/>
          <w:b w:val="0"/>
          <w:bCs w:val="0"/>
        </w:rPr>
      </w:pPr>
      <w:r>
        <w:rPr>
          <w:rFonts w:hint="eastAsia" w:asciiTheme="minorEastAsia" w:hAnsiTheme="minorEastAsia" w:eastAsiaTheme="minorEastAsia"/>
          <w:sz w:val="32"/>
          <w:szCs w:val="32"/>
          <w:lang w:eastAsia="zh-CN"/>
        </w:rPr>
        <w:drawing>
          <wp:anchor distT="0" distB="0" distL="114300" distR="114300" simplePos="0" relativeHeight="251672576" behindDoc="0" locked="0" layoutInCell="1" allowOverlap="1">
            <wp:simplePos x="0" y="0"/>
            <wp:positionH relativeFrom="column">
              <wp:posOffset>899795</wp:posOffset>
            </wp:positionH>
            <wp:positionV relativeFrom="paragraph">
              <wp:posOffset>162560</wp:posOffset>
            </wp:positionV>
            <wp:extent cx="3756025" cy="2657475"/>
            <wp:effectExtent l="4445" t="4445" r="11430" b="5080"/>
            <wp:wrapTopAndBottom/>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pict>
          <v:group id="_x0000_s1076" o:spid="_x0000_s1076" o:spt="203" style="position:absolute;left:0pt;margin-left:73.8pt;margin-top:8.3pt;height:247.35pt;width:303.05pt;z-index:251670528;mso-width-relative:page;mso-height-relative:page;" coordorigin="6817,180097" coordsize="5156,324420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9" cropleft="2131f" croptop="1490f" cropright="1218f" cropbottom="5217f" o:title=""/>
              <o:lock v:ext="edit" aspectratio="t"/>
            </v:shape>
            <v:shape id="_x0000_s1077" o:spid="_x0000_s1077" o:spt="202" type="#_x0000_t202" style="position:absolute;left:7658;top:182920;height:421;width:3303;"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7501.18</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7450.01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99.32</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51.17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0.68</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rPr>
          <w:rFonts w:ascii="黑体" w:eastAsia="黑体"/>
          <w:b w:val="0"/>
          <w:bCs w:val="0"/>
        </w:rPr>
      </w:pPr>
      <w:r>
        <w:rPr>
          <w:rFonts w:hint="eastAsia" w:asciiTheme="minorEastAsia" w:hAnsiTheme="minorEastAsia" w:eastAsiaTheme="minorEastAsia"/>
          <w:sz w:val="32"/>
          <w:szCs w:val="32"/>
          <w:lang w:eastAsia="zh-CN"/>
        </w:rPr>
        <w:drawing>
          <wp:anchor distT="0" distB="0" distL="114300" distR="114300" simplePos="0" relativeHeight="251673600" behindDoc="0" locked="0" layoutInCell="1" allowOverlap="1">
            <wp:simplePos x="0" y="0"/>
            <wp:positionH relativeFrom="column">
              <wp:posOffset>985520</wp:posOffset>
            </wp:positionH>
            <wp:positionV relativeFrom="paragraph">
              <wp:posOffset>-32385</wp:posOffset>
            </wp:positionV>
            <wp:extent cx="3547110" cy="2248535"/>
            <wp:effectExtent l="4445" t="4445" r="10795" b="13970"/>
            <wp:wrapTopAndBottom/>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pict>
          <v:group id="_x0000_s1073" o:spid="_x0000_s1073" o:spt="203" style="position:absolute;left:0pt;margin-left:59.55pt;margin-top:6.75pt;height:230.55pt;width:274.45pt;z-index:-251646976;mso-width-relative:page;mso-height-relative:page;" coordorigin="7032,190738" coordsize="4600,360720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74" o:spid="_x0000_s1074"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r>
        <w:rPr>
          <w:sz w:val="44"/>
        </w:rPr>
        <w:pict>
          <v:group id="_x0000_s1070" o:spid="_x0000_s1070"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687936" behindDoc="0" locked="0" layoutInCell="1" allowOverlap="1">
            <wp:simplePos x="0" y="0"/>
            <wp:positionH relativeFrom="column">
              <wp:posOffset>944245</wp:posOffset>
            </wp:positionH>
            <wp:positionV relativeFrom="paragraph">
              <wp:posOffset>2226310</wp:posOffset>
            </wp:positionV>
            <wp:extent cx="3543935" cy="2402205"/>
            <wp:effectExtent l="4445" t="4445" r="17780" b="16510"/>
            <wp:wrapTopAndBottom/>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eastAsia="仿宋_GB2312" w:cs="DengXian-Regular"/>
          <w:sz w:val="32"/>
          <w:szCs w:val="32"/>
          <w:lang w:val="en-US" w:eastAsia="zh-CN"/>
        </w:rPr>
        <w:t>7501.18</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1140.98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17.94</w:t>
      </w:r>
      <w:r>
        <w:rPr>
          <w:rFonts w:hint="eastAsia" w:ascii="仿宋_GB2312" w:eastAsia="仿宋_GB2312" w:cs="DengXian-Regular"/>
          <w:sz w:val="32"/>
          <w:szCs w:val="32"/>
        </w:rPr>
        <w:t>%，主要是税收增加，可用财力增加；本年支出</w:t>
      </w:r>
      <w:r>
        <w:rPr>
          <w:rFonts w:hint="eastAsia" w:ascii="仿宋_GB2312" w:eastAsia="仿宋_GB2312" w:cs="DengXian-Regular"/>
          <w:sz w:val="32"/>
          <w:szCs w:val="32"/>
          <w:lang w:val="en-US" w:eastAsia="zh-CN"/>
        </w:rPr>
        <w:t>7501.18</w:t>
      </w:r>
      <w:r>
        <w:rPr>
          <w:rFonts w:hint="eastAsia" w:ascii="仿宋_GB2312" w:eastAsia="仿宋_GB2312" w:cs="DengXian-Regular"/>
          <w:sz w:val="32"/>
          <w:szCs w:val="32"/>
        </w:rPr>
        <w:t>万元，增加</w:t>
      </w:r>
      <w:r>
        <w:rPr>
          <w:rFonts w:hint="eastAsia" w:ascii="仿宋_GB2312" w:eastAsia="仿宋_GB2312" w:cs="DengXian-Regular"/>
          <w:sz w:val="32"/>
          <w:szCs w:val="32"/>
          <w:lang w:val="en-US" w:eastAsia="zh-CN"/>
        </w:rPr>
        <w:t>1140.98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17.94%，主要</w:t>
      </w:r>
      <w:r>
        <w:rPr>
          <w:rFonts w:hint="eastAsia" w:ascii="仿宋_GB2312" w:eastAsia="仿宋_GB2312" w:cs="DengXian-Regular"/>
          <w:sz w:val="32"/>
          <w:szCs w:val="32"/>
        </w:rPr>
        <w:t>是</w:t>
      </w:r>
      <w:r>
        <w:rPr>
          <w:rFonts w:hint="eastAsia" w:ascii="仿宋_GB2312" w:eastAsia="仿宋_GB2312" w:cs="DengXian-Regular"/>
          <w:sz w:val="32"/>
          <w:szCs w:val="32"/>
          <w:lang w:eastAsia="zh-CN"/>
        </w:rPr>
        <w:t>人员工资及日常公用经费、信访、土地执法、环保项目支出增加。</w: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本部门2018年度一般公共预算财政拨款收入</w:t>
      </w:r>
      <w:r>
        <w:rPr>
          <w:rFonts w:hint="eastAsia" w:ascii="仿宋_GB2312" w:eastAsia="仿宋_GB2312" w:cs="DengXian-Regular"/>
          <w:sz w:val="32"/>
          <w:szCs w:val="32"/>
          <w:lang w:val="en-US" w:eastAsia="zh-CN"/>
        </w:rPr>
        <w:t>7501.18</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98.75</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94.9</w:t>
      </w:r>
      <w:r>
        <w:rPr>
          <w:rFonts w:hint="eastAsia" w:ascii="仿宋_GB2312" w:eastAsia="仿宋_GB2312" w:cs="DengXian-Regular"/>
          <w:sz w:val="32"/>
          <w:szCs w:val="32"/>
        </w:rPr>
        <w:t>万元，决算数小于预算数主要原因是</w:t>
      </w:r>
      <w:r>
        <w:rPr>
          <w:rFonts w:hint="eastAsia" w:ascii="仿宋_GB2312" w:eastAsia="仿宋_GB2312" w:cs="DengXian-Regular"/>
          <w:sz w:val="32"/>
          <w:szCs w:val="32"/>
          <w:lang w:eastAsia="zh-CN"/>
        </w:rPr>
        <w:t>当年税收降低、可用财力减小</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7501.18</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98.75</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94.9</w:t>
      </w:r>
      <w:r>
        <w:rPr>
          <w:rFonts w:hint="eastAsia" w:ascii="仿宋_GB2312" w:eastAsia="仿宋_GB2312" w:cs="DengXian-Regular"/>
          <w:sz w:val="32"/>
          <w:szCs w:val="32"/>
        </w:rPr>
        <w:t>万元，决算数小</w:t>
      </w:r>
      <w:r>
        <w:rPr>
          <w:sz w:val="44"/>
        </w:rPr>
        <w:pict>
          <v:group id="_x0000_s1061" o:spid="_x0000_s1061" o:spt="203" style="position:absolute;left:0pt;margin-left:-0.55pt;margin-top:29.3pt;height:43.95pt;width:301.85pt;mso-position-horizontal-relative:page;mso-position-vertical-relative:page;z-index:25167769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En7KztsAAAALAQAADwAAAAAAAAAB&#10;ACAAAAAiAAAAZHJzL2Rvd25yZXYueG1sUEsBAhQAFAAAAAgAh07iQHsbYhEqAwAA7ggAAA4AAAAA&#10;AAAAAQAgAAAAKgEAAGRycy9lMm9Eb2MueG1sUEsFBgAAAAAGAAYAWQEAAMYGAAAAAA==&#10;">
            <o:lock v:ext="edit"/>
            <v:rect id="矩形 13" o:spid="_x0000_s1063" o:spt="1" style="position:absolute;left:4551;top:52615;height:1175;width:8546;v-text-anchor:middle;" fillcolor="#D9D9D9"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62" o:spt="1" style="position:absolute;left:4577;top:52890;height:1123;width:832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于预算数主要原因是</w:t>
      </w:r>
      <w:r>
        <w:rPr>
          <w:rFonts w:hint="eastAsia" w:ascii="仿宋_GB2312" w:eastAsia="仿宋_GB2312" w:cs="DengXian-Regular"/>
          <w:sz w:val="32"/>
          <w:szCs w:val="32"/>
          <w:lang w:eastAsia="zh-CN"/>
        </w:rPr>
        <w:t>当年税收降低、可用财力减小</w:t>
      </w:r>
      <w:r>
        <w:rPr>
          <w:rFonts w:hint="eastAsia" w:ascii="仿宋_GB2312" w:eastAsia="仿宋_GB2312" w:cs="DengXian-Regular"/>
          <w:sz w:val="32"/>
          <w:szCs w:val="32"/>
        </w:rPr>
        <w:t>。</w:t>
      </w:r>
      <w:r>
        <w:pict>
          <v:group id="_x0000_s1058" o:spid="_x0000_s1058" o:spt="203" style="position:absolute;left:0pt;margin-left:45.95pt;margin-top:0.4pt;height:208.2pt;width:343.1pt;z-index:-251627520;mso-width-relative:page;mso-height-relative:page;" coordorigin="5233,225704" coordsize="6344,385020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60"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2" o:title=""/>
              <o:lock v:ext="edit" aspectratio="t"/>
            </v:shape>
            <v:shape id="文本框 28" o:spid="_x0000_s1059"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仿宋_GB2312" w:eastAsia="仿宋_GB2312" w:cs="DengXian-Regular"/>
          <w:sz w:val="32"/>
          <w:szCs w:val="32"/>
          <w:lang w:eastAsia="zh-CN"/>
        </w:rPr>
        <w:drawing>
          <wp:anchor distT="0" distB="0" distL="114300" distR="114300" simplePos="0" relativeHeight="251689984" behindDoc="0" locked="0" layoutInCell="1" allowOverlap="1">
            <wp:simplePos x="0" y="0"/>
            <wp:positionH relativeFrom="column">
              <wp:posOffset>1205865</wp:posOffset>
            </wp:positionH>
            <wp:positionV relativeFrom="paragraph">
              <wp:posOffset>57785</wp:posOffset>
            </wp:positionV>
            <wp:extent cx="3543935" cy="2402205"/>
            <wp:effectExtent l="4445" t="4445" r="17780" b="16510"/>
            <wp:wrapTopAndBottom/>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7501.18</w:t>
      </w:r>
      <w:r>
        <w:rPr>
          <w:rFonts w:hint="eastAsia" w:ascii="仿宋_GB2312" w:eastAsia="仿宋_GB2312" w:cs="DengXian-Regular"/>
          <w:sz w:val="32"/>
          <w:szCs w:val="32"/>
        </w:rPr>
        <w:t>万元，主要用于以下方面一般公共服务（类）支出</w:t>
      </w:r>
      <w:r>
        <w:rPr>
          <w:rFonts w:hint="eastAsia" w:ascii="仿宋_GB2312" w:eastAsia="仿宋_GB2312" w:cs="DengXian-Regular"/>
          <w:sz w:val="32"/>
          <w:szCs w:val="32"/>
          <w:lang w:val="en-US" w:eastAsia="zh-CN"/>
        </w:rPr>
        <w:t>1092.53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14.57</w:t>
      </w:r>
      <w:r>
        <w:rPr>
          <w:rFonts w:hint="eastAsia" w:ascii="仿宋_GB2312" w:eastAsia="仿宋_GB2312" w:cs="DengXian-Regular"/>
          <w:sz w:val="32"/>
          <w:szCs w:val="32"/>
        </w:rPr>
        <w:t>%；教育（类）支出</w:t>
      </w:r>
      <w:r>
        <w:rPr>
          <w:rFonts w:hint="eastAsia" w:ascii="仿宋_GB2312" w:eastAsia="仿宋_GB2312" w:cs="DengXian-Regular"/>
          <w:sz w:val="32"/>
          <w:szCs w:val="32"/>
          <w:lang w:val="en-US" w:eastAsia="zh-CN"/>
        </w:rPr>
        <w:t>5667.18</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75.55</w:t>
      </w:r>
      <w:r>
        <w:rPr>
          <w:rFonts w:hint="eastAsia" w:ascii="仿宋_GB2312" w:eastAsia="仿宋_GB2312" w:cs="DengXian-Regular"/>
          <w:sz w:val="32"/>
          <w:szCs w:val="32"/>
        </w:rPr>
        <w:t>%；社会保障和就业（类）支出</w:t>
      </w:r>
      <w:r>
        <w:rPr>
          <w:rFonts w:hint="eastAsia" w:ascii="仿宋_GB2312" w:eastAsia="仿宋_GB2312" w:cs="DengXian-Regular"/>
          <w:sz w:val="32"/>
          <w:szCs w:val="32"/>
          <w:lang w:val="en-US" w:eastAsia="zh-CN"/>
        </w:rPr>
        <w:t>722.47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9.63</w:t>
      </w:r>
      <w:r>
        <w:rPr>
          <w:rFonts w:hint="eastAsia" w:ascii="仿宋_GB2312" w:eastAsia="仿宋_GB2312" w:cs="DengXian-Regular"/>
          <w:sz w:val="32"/>
          <w:szCs w:val="32"/>
        </w:rPr>
        <w:t>%；</w:t>
      </w:r>
      <w:r>
        <w:rPr>
          <w:rFonts w:hint="eastAsia" w:ascii="仿宋_GB2312" w:eastAsia="仿宋_GB2312" w:cs="DengXian-Regular"/>
          <w:sz w:val="32"/>
          <w:szCs w:val="32"/>
          <w:lang w:eastAsia="zh-CN"/>
        </w:rPr>
        <w:t>农林水</w:t>
      </w:r>
      <w:r>
        <w:rPr>
          <w:rFonts w:hint="eastAsia" w:ascii="仿宋_GB2312" w:eastAsia="仿宋_GB2312" w:cs="DengXian-Regular"/>
          <w:sz w:val="32"/>
          <w:szCs w:val="32"/>
        </w:rPr>
        <w:t>（类）支出</w:t>
      </w:r>
      <w:r>
        <w:rPr>
          <w:rFonts w:hint="eastAsia" w:ascii="仿宋_GB2312" w:eastAsia="仿宋_GB2312" w:cs="DengXian-Regular"/>
          <w:sz w:val="32"/>
          <w:szCs w:val="32"/>
          <w:lang w:val="en-US" w:eastAsia="zh-CN"/>
        </w:rPr>
        <w:t>19</w:t>
      </w:r>
      <w:r>
        <w:rPr>
          <w:rFonts w:hint="eastAsia" w:ascii="仿宋_GB2312" w:eastAsia="仿宋_GB2312" w:cs="DengXian-Regular"/>
          <w:sz w:val="32"/>
          <w:szCs w:val="32"/>
        </w:rPr>
        <w:t xml:space="preserve">万元，占 </w:t>
      </w:r>
      <w:r>
        <w:rPr>
          <w:rFonts w:hint="eastAsia" w:ascii="仿宋_GB2312" w:eastAsia="仿宋_GB2312" w:cs="DengXian-Regular"/>
          <w:sz w:val="32"/>
          <w:szCs w:val="32"/>
          <w:lang w:val="en-US" w:eastAsia="zh-CN"/>
        </w:rPr>
        <w:t>0.25</w:t>
      </w:r>
      <w:r>
        <w:rPr>
          <w:rFonts w:hint="eastAsia" w:ascii="仿宋_GB2312" w:eastAsia="仿宋_GB2312" w:cs="DengXian-Regular"/>
          <w:sz w:val="32"/>
          <w:szCs w:val="32"/>
        </w:rPr>
        <w:t>%。</w:t>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ascii="楷体_GB2312" w:eastAsia="楷体_GB2312" w:cs="DengXian-Bold"/>
          <w:b/>
          <w:bCs/>
          <w:sz w:val="32"/>
          <w:szCs w:val="32"/>
        </w:rPr>
      </w:pPr>
      <w:r>
        <w:rPr>
          <w:rFonts w:hint="eastAsia" w:asciiTheme="minorEastAsia" w:hAnsiTheme="minorEastAsia" w:eastAsiaTheme="minorEastAsia"/>
          <w:sz w:val="32"/>
          <w:szCs w:val="32"/>
          <w:lang w:eastAsia="zh-CN"/>
        </w:rPr>
        <w:drawing>
          <wp:anchor distT="0" distB="0" distL="114300" distR="114300" simplePos="0" relativeHeight="251691008" behindDoc="0" locked="0" layoutInCell="1" allowOverlap="1">
            <wp:simplePos x="0" y="0"/>
            <wp:positionH relativeFrom="column">
              <wp:posOffset>1252220</wp:posOffset>
            </wp:positionH>
            <wp:positionV relativeFrom="paragraph">
              <wp:posOffset>128905</wp:posOffset>
            </wp:positionV>
            <wp:extent cx="3376930" cy="3450590"/>
            <wp:effectExtent l="0" t="0" r="0" b="0"/>
            <wp:wrapTopAndBottom/>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pict>
          <v:group id="_x0000_s1055" o:spid="_x0000_s1055" o:spt="203" style="position:absolute;left:0pt;margin-left:86.35pt;margin-top:15.9pt;height:195.05pt;width:296.35pt;z-index:-251629568;mso-width-relative:page;mso-height-relative:page;" coordorigin="6921,180284" coordsize="5331,3886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56" o:spid="_x0000_s105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ind w:left="420" w:leftChars="200"/>
        <w:rPr>
          <w:rFonts w:ascii="仿宋_GB2312" w:eastAsia="仿宋_GB2312" w:cs="DengXian-Regular"/>
          <w:sz w:val="32"/>
          <w:szCs w:val="32"/>
          <w:highlight w:val="yellow"/>
        </w:rPr>
      </w:pPr>
      <w:r>
        <w:rPr>
          <w:sz w:val="44"/>
        </w:rPr>
        <w:pict>
          <v:group id="_x0000_s1052" o:spid="_x0000_s1052" o:spt="203" style="position:absolute;left:0pt;margin-left:-0.55pt;margin-top:29.3pt;height:43.95pt;width:301.85pt;mso-position-horizontal-relative:page;mso-position-vertical-relative:page;z-index:25167872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r>
        <w:rPr>
          <w:sz w:val="44"/>
        </w:rPr>
        <w:pict>
          <v:group id="_x0000_s1049" o:spid="_x0000_s1049" o:spt="203" style="position:absolute;left:0pt;margin-left:-0.55pt;margin-top:29.3pt;height:43.95pt;width:301.85pt;mso-position-horizontal-relative:page;mso-position-vertical-relative:page;z-index:25168588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v:rect id="矩形 13" o:spid="_x0000_s1051" o:spt="1" style="position:absolute;left:4551;top:52615;height:1175;width:8546;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7450.01</w:t>
      </w:r>
      <w:r>
        <w:rPr>
          <w:rFonts w:hint="eastAsia" w:ascii="仿宋_GB2312" w:eastAsia="仿宋_GB2312" w:cs="DengXian-Regular"/>
          <w:sz w:val="32"/>
          <w:szCs w:val="32"/>
        </w:rPr>
        <w:t xml:space="preserve">万元，其中：人员经费 </w:t>
      </w:r>
      <w:r>
        <w:rPr>
          <w:rFonts w:hint="eastAsia" w:ascii="仿宋_GB2312" w:eastAsia="仿宋_GB2312" w:cs="DengXian-Regular"/>
          <w:sz w:val="32"/>
          <w:szCs w:val="32"/>
          <w:lang w:val="en-US" w:eastAsia="zh-CN"/>
        </w:rPr>
        <w:t>7194.45</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eastAsia="仿宋_GB2312" w:cs="DengXian-Regular"/>
          <w:sz w:val="32"/>
          <w:szCs w:val="32"/>
          <w:lang w:val="en-US" w:eastAsia="zh-CN"/>
        </w:rPr>
        <w:t>255.56</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1.57</w:t>
      </w:r>
      <w:r>
        <w:rPr>
          <w:rFonts w:hint="eastAsia" w:ascii="仿宋_GB2312" w:eastAsia="仿宋_GB2312" w:cs="DengXian-Regular"/>
          <w:sz w:val="32"/>
          <w:szCs w:val="32"/>
        </w:rPr>
        <w:t>万元，较年初预算减少</w:t>
      </w:r>
      <w:r>
        <w:rPr>
          <w:rFonts w:hint="eastAsia" w:ascii="仿宋_GB2312" w:eastAsia="仿宋_GB2312" w:cs="DengXian-Regular"/>
          <w:sz w:val="32"/>
          <w:szCs w:val="32"/>
          <w:lang w:val="en-US" w:eastAsia="zh-CN"/>
        </w:rPr>
        <w:t>3.83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70.93</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7974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人/无本单位组织的出国（境）团组。因公出国（境）费支出较年初预算</w:t>
      </w:r>
      <w:r>
        <w:rPr>
          <w:rFonts w:hint="eastAsia" w:ascii="仿宋_GB2312" w:eastAsia="仿宋_GB2312" w:cs="DengXian-Regular"/>
          <w:sz w:val="32"/>
          <w:szCs w:val="32"/>
          <w:lang w:eastAsia="zh-CN"/>
        </w:rPr>
        <w:t>无变化，</w:t>
      </w:r>
      <w:r>
        <w:rPr>
          <w:rFonts w:hint="eastAsia" w:ascii="仿宋_GB2312" w:eastAsia="仿宋_GB2312" w:cs="DengXian-Regular"/>
          <w:sz w:val="32"/>
          <w:szCs w:val="32"/>
        </w:rPr>
        <w:t>主要是无因公出国（境）情况。</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1.57</w:t>
      </w:r>
      <w:r>
        <w:rPr>
          <w:rFonts w:hint="eastAsia" w:ascii="楷体_GB2312" w:eastAsia="楷体_GB2312" w:cs="DengXian-Bold"/>
          <w:b/>
          <w:bCs/>
          <w:sz w:val="32"/>
          <w:szCs w:val="32"/>
        </w:rPr>
        <w:t>万元。</w:t>
      </w:r>
      <w:bookmarkStart w:id="0" w:name="_GoBack"/>
      <w:bookmarkEnd w:id="0"/>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2.83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64.32</w:t>
      </w:r>
      <w:r>
        <w:rPr>
          <w:rFonts w:hint="eastAsia" w:ascii="仿宋_GB2312" w:eastAsia="仿宋_GB2312" w:cs="DengXian-Regular"/>
          <w:sz w:val="32"/>
          <w:szCs w:val="32"/>
        </w:rPr>
        <w:t>%,主要是加强公务用车管理，切实压缩公务用车费用支出。</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万元。公务用车购置费支出较年初预算</w:t>
      </w:r>
      <w:r>
        <w:rPr>
          <w:rFonts w:hint="eastAsia" w:ascii="仿宋_GB2312" w:eastAsia="仿宋_GB2312" w:cs="DengXian-Regular"/>
          <w:sz w:val="32"/>
          <w:szCs w:val="32"/>
          <w:lang w:eastAsia="zh-CN"/>
        </w:rPr>
        <w:t>无变化</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无公务用车购置</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辆。公车运行维护费支出较年初预算减少</w:t>
      </w:r>
      <w:r>
        <w:rPr>
          <w:rFonts w:hint="eastAsia" w:ascii="仿宋_GB2312" w:eastAsia="仿宋_GB2312" w:cs="DengXian-Regular"/>
          <w:sz w:val="32"/>
          <w:szCs w:val="32"/>
          <w:lang w:val="en-US" w:eastAsia="zh-CN"/>
        </w:rPr>
        <w:t>2.83</w:t>
      </w:r>
      <w:r>
        <w:rPr>
          <w:rFonts w:hint="eastAsia" w:ascii="仿宋_GB2312" w:eastAsia="仿宋_GB2312" w:cs="DengXian-Regular"/>
          <w:sz w:val="32"/>
          <w:szCs w:val="32"/>
        </w:rPr>
        <w:t>万元，增长降低</w:t>
      </w:r>
      <w:r>
        <w:rPr>
          <w:rFonts w:hint="eastAsia" w:ascii="仿宋_GB2312" w:eastAsia="仿宋_GB2312" w:cs="DengXian-Regular"/>
          <w:sz w:val="32"/>
          <w:szCs w:val="32"/>
          <w:lang w:val="en-US" w:eastAsia="zh-CN"/>
        </w:rPr>
        <w:t>64.32</w:t>
      </w:r>
      <w:r>
        <w:rPr>
          <w:rFonts w:hint="eastAsia" w:ascii="仿宋_GB2312" w:eastAsia="仿宋_GB2312" w:cs="DengXian-Regular"/>
          <w:sz w:val="32"/>
          <w:szCs w:val="32"/>
        </w:rPr>
        <w:t>%,主要是加强公务用车管理，切实压缩公务用车费用支出。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w:pict>
          <v:group id="_x0000_s1043" o:spid="_x0000_s1043" o:spt="203" style="position:absolute;left:0pt;margin-left:-0.55pt;margin-top:29.3pt;height:43.95pt;width:301.85pt;mso-position-horizontal-relative:page;mso-position-vertical-relative:page;z-index:25168076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人次。公务接待费支出较年初预算减少</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万元，增降低</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%,主要是从严落实公务接待有关规定，进一步压缩公务接待费用支出。</w:t>
      </w:r>
    </w:p>
    <w:p>
      <w:pPr>
        <w:pStyle w:val="3"/>
        <w:spacing w:before="0" w:after="0" w:line="500" w:lineRule="exact"/>
        <w:ind w:firstLine="643" w:firstLineChars="200"/>
        <w:rPr>
          <w:rFonts w:ascii="黑体" w:eastAsia="黑体" w:cs="Times New Roman"/>
          <w:shd w:val="clear" w:color="auto" w:fill="auto"/>
        </w:rPr>
      </w:pPr>
      <w:r>
        <w:rPr>
          <w:rFonts w:hint="eastAsia" w:ascii="黑体" w:eastAsia="黑体"/>
          <w:szCs w:val="40"/>
        </w:rPr>
        <w:t>六、</w:t>
      </w:r>
      <w:r>
        <w:rPr>
          <w:rFonts w:hint="eastAsia" w:ascii="黑体" w:eastAsia="黑体" w:cs="Times New Roman"/>
          <w:shd w:val="clear" w:color="auto" w:fill="auto"/>
        </w:rPr>
        <w:t>绩效预算情况说明</w:t>
      </w:r>
    </w:p>
    <w:p>
      <w:pPr>
        <w:adjustRightInd w:val="0"/>
        <w:snapToGrid w:val="0"/>
        <w:spacing w:after="0" w:line="500" w:lineRule="exact"/>
        <w:ind w:firstLine="640" w:firstLineChars="200"/>
        <w:rPr>
          <w:rFonts w:ascii="仿宋_GB2312" w:eastAsia="仿宋_GB2312" w:cs="DengXian-Regular"/>
          <w:color w:val="FF0000"/>
          <w:sz w:val="32"/>
          <w:szCs w:val="32"/>
          <w:shd w:val="clear" w:color="auto" w:fill="auto"/>
        </w:rPr>
      </w:pPr>
      <w:r>
        <w:rPr>
          <w:rFonts w:hint="eastAsia" w:ascii="仿宋_GB2312" w:eastAsia="仿宋_GB2312" w:cs="DengXian-Regular"/>
          <w:sz w:val="32"/>
          <w:szCs w:val="32"/>
          <w:shd w:val="clear" w:color="auto" w:fill="auto"/>
        </w:rPr>
        <w:t>（一）绩效管理工作开展情况。根据《关于开展2018年度财政专项资金部门绩效自评价工作的通知》（石财绩</w:t>
      </w:r>
      <w:r>
        <w:rPr>
          <w:rFonts w:hint="eastAsia" w:ascii="宋体" w:hAnsi="宋体" w:cs="宋体"/>
          <w:sz w:val="32"/>
          <w:szCs w:val="32"/>
          <w:shd w:val="clear" w:color="auto" w:fill="auto"/>
        </w:rPr>
        <w:t>[2019]</w:t>
      </w:r>
      <w:r>
        <w:rPr>
          <w:rFonts w:hint="eastAsia" w:ascii="仿宋_GB2312" w:eastAsia="仿宋_GB2312" w:cs="DengXian-Regular"/>
          <w:sz w:val="32"/>
          <w:szCs w:val="32"/>
          <w:shd w:val="clear" w:color="auto" w:fill="auto"/>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auto"/>
          <w:sz w:val="32"/>
          <w:szCs w:val="32"/>
          <w:shd w:val="clear" w:color="auto" w:fill="auto"/>
        </w:rPr>
        <w:t>良好。</w:t>
      </w:r>
    </w:p>
    <w:p>
      <w:pPr>
        <w:adjustRightInd w:val="0"/>
        <w:snapToGrid w:val="0"/>
        <w:spacing w:after="0" w:line="500" w:lineRule="exact"/>
        <w:ind w:firstLine="640" w:firstLineChars="200"/>
        <w:rPr>
          <w:rFonts w:hint="eastAsia" w:ascii="仿宋_GB2312" w:eastAsia="仿宋_GB2312" w:cs="DengXian-Regular"/>
          <w:sz w:val="32"/>
          <w:szCs w:val="32"/>
          <w:shd w:val="clear" w:color="auto" w:fill="auto"/>
          <w:lang w:eastAsia="zh-CN"/>
        </w:rPr>
      </w:pPr>
      <w:r>
        <w:rPr>
          <w:rFonts w:hint="eastAsia" w:ascii="仿宋_GB2312" w:eastAsia="仿宋_GB2312" w:cs="DengXian-Regular"/>
          <w:sz w:val="32"/>
          <w:szCs w:val="32"/>
          <w:shd w:val="clear" w:color="auto" w:fill="auto"/>
        </w:rPr>
        <w:t>（二）预算项目绩效评价开展情况</w:t>
      </w:r>
      <w:r>
        <w:rPr>
          <w:rFonts w:hint="eastAsia" w:ascii="仿宋_GB2312" w:eastAsia="仿宋_GB2312" w:cs="DengXian-Regular"/>
          <w:sz w:val="32"/>
          <w:szCs w:val="32"/>
          <w:shd w:val="clear" w:color="auto" w:fill="auto"/>
          <w:lang w:eastAsia="zh-CN"/>
        </w:rPr>
        <w:t>。</w:t>
      </w:r>
      <w:r>
        <w:rPr>
          <w:rFonts w:hint="eastAsia" w:ascii="仿宋_GB2312" w:eastAsia="仿宋_GB2312" w:cs="DengXian-Regular"/>
          <w:sz w:val="32"/>
          <w:szCs w:val="32"/>
          <w:shd w:val="clear" w:color="auto" w:fill="auto"/>
        </w:rPr>
        <w:t>根据预算绩效管理要求，本单位组织对201</w:t>
      </w:r>
      <w:r>
        <w:rPr>
          <w:rFonts w:hint="eastAsia" w:ascii="仿宋_GB2312" w:eastAsia="仿宋_GB2312" w:cs="DengXian-Regular"/>
          <w:sz w:val="32"/>
          <w:szCs w:val="32"/>
          <w:shd w:val="clear" w:color="auto" w:fill="auto"/>
          <w:lang w:val="en-US" w:eastAsia="zh-CN"/>
        </w:rPr>
        <w:t>8</w:t>
      </w:r>
      <w:r>
        <w:rPr>
          <w:rFonts w:hint="eastAsia" w:ascii="仿宋_GB2312" w:eastAsia="仿宋_GB2312" w:cs="DengXian-Regular"/>
          <w:sz w:val="32"/>
          <w:szCs w:val="32"/>
          <w:shd w:val="clear" w:color="auto" w:fill="auto"/>
        </w:rPr>
        <w:t>年度一般公共预算项目支出全面开展绩效自评，涉及</w:t>
      </w:r>
      <w:r>
        <w:rPr>
          <w:rFonts w:hint="eastAsia" w:ascii="仿宋_GB2312" w:eastAsia="仿宋_GB2312" w:cs="DengXian-Regular"/>
          <w:sz w:val="32"/>
          <w:szCs w:val="32"/>
          <w:shd w:val="clear" w:color="auto" w:fill="auto"/>
          <w:lang w:eastAsia="zh-CN"/>
        </w:rPr>
        <w:t>信访维稳土地治理</w:t>
      </w:r>
      <w:r>
        <w:rPr>
          <w:rFonts w:hint="eastAsia" w:ascii="仿宋_GB2312" w:eastAsia="仿宋_GB2312" w:cs="DengXian-Regular"/>
          <w:sz w:val="32"/>
          <w:szCs w:val="32"/>
          <w:shd w:val="clear" w:color="auto" w:fill="auto"/>
        </w:rPr>
        <w:t>、</w:t>
      </w:r>
      <w:r>
        <w:rPr>
          <w:rFonts w:hint="eastAsia" w:ascii="仿宋_GB2312" w:eastAsia="仿宋_GB2312" w:cs="DengXian-Regular"/>
          <w:sz w:val="32"/>
          <w:szCs w:val="32"/>
          <w:shd w:val="clear" w:color="auto" w:fill="auto"/>
          <w:lang w:eastAsia="zh-CN"/>
        </w:rPr>
        <w:t>补助村民委员会支出</w:t>
      </w:r>
      <w:r>
        <w:rPr>
          <w:rFonts w:hint="eastAsia" w:ascii="仿宋_GB2312" w:eastAsia="仿宋_GB2312" w:cs="DengXian-Regular"/>
          <w:sz w:val="32"/>
          <w:szCs w:val="32"/>
          <w:shd w:val="clear" w:color="auto" w:fill="auto"/>
          <w:lang w:val="en-US" w:eastAsia="zh-CN"/>
        </w:rPr>
        <w:t>2</w:t>
      </w:r>
      <w:r>
        <w:rPr>
          <w:rFonts w:hint="eastAsia" w:ascii="仿宋_GB2312" w:eastAsia="仿宋_GB2312" w:cs="DengXian-Regular"/>
          <w:sz w:val="32"/>
          <w:szCs w:val="32"/>
          <w:shd w:val="clear" w:color="auto" w:fill="auto"/>
        </w:rPr>
        <w:t>个项目，涉及资金</w:t>
      </w:r>
      <w:r>
        <w:rPr>
          <w:rFonts w:hint="eastAsia" w:ascii="仿宋_GB2312" w:eastAsia="仿宋_GB2312" w:cs="DengXian-Regular"/>
          <w:sz w:val="32"/>
          <w:szCs w:val="32"/>
          <w:lang w:val="en-US" w:eastAsia="zh-CN"/>
        </w:rPr>
        <w:t>51.17</w:t>
      </w:r>
      <w:r>
        <w:rPr>
          <w:rFonts w:hint="eastAsia" w:ascii="仿宋_GB2312" w:eastAsia="仿宋_GB2312" w:cs="DengXian-Regular"/>
          <w:sz w:val="32"/>
          <w:szCs w:val="32"/>
          <w:shd w:val="clear" w:color="auto" w:fill="auto"/>
        </w:rPr>
        <w:t>万元。从评价情况看，评价结果为</w:t>
      </w:r>
      <w:r>
        <w:rPr>
          <w:rFonts w:hint="eastAsia" w:ascii="仿宋_GB2312" w:eastAsia="仿宋_GB2312" w:cs="DengXian-Regular"/>
          <w:sz w:val="32"/>
          <w:szCs w:val="32"/>
          <w:shd w:val="clear" w:color="auto" w:fill="auto"/>
          <w:lang w:eastAsia="zh-CN"/>
        </w:rPr>
        <w:t>优秀</w:t>
      </w:r>
      <w:r>
        <w:rPr>
          <w:rFonts w:hint="eastAsia" w:ascii="仿宋_GB2312" w:eastAsia="仿宋_GB2312" w:cs="DengXian-Regular"/>
          <w:sz w:val="32"/>
          <w:szCs w:val="32"/>
          <w:shd w:val="clear" w:color="auto" w:fill="auto"/>
        </w:rPr>
        <w:t>的项目有</w:t>
      </w:r>
      <w:r>
        <w:rPr>
          <w:rFonts w:hint="eastAsia" w:ascii="仿宋_GB2312" w:eastAsia="仿宋_GB2312" w:cs="DengXian-Regular"/>
          <w:sz w:val="32"/>
          <w:szCs w:val="32"/>
          <w:shd w:val="clear" w:color="auto" w:fill="auto"/>
          <w:lang w:val="en-US" w:eastAsia="zh-CN"/>
        </w:rPr>
        <w:t>2</w:t>
      </w:r>
      <w:r>
        <w:rPr>
          <w:rFonts w:hint="eastAsia" w:ascii="仿宋_GB2312" w:eastAsia="仿宋_GB2312" w:cs="DengXian-Regular"/>
          <w:sz w:val="32"/>
          <w:szCs w:val="32"/>
          <w:shd w:val="clear" w:color="auto" w:fill="auto"/>
        </w:rPr>
        <w:t>个</w:t>
      </w:r>
      <w:r>
        <w:rPr>
          <w:rFonts w:hint="eastAsia" w:ascii="仿宋_GB2312" w:eastAsia="仿宋_GB2312" w:cs="DengXian-Regular"/>
          <w:sz w:val="32"/>
          <w:szCs w:val="32"/>
          <w:shd w:val="clear" w:color="auto" w:fill="auto"/>
          <w:lang w:eastAsia="zh-CN"/>
        </w:rPr>
        <w:t>。</w:t>
      </w:r>
    </w:p>
    <w:p>
      <w:p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（三）预算项目绩效自评选例</w:t>
      </w:r>
    </w:p>
    <w:p>
      <w:pPr>
        <w:adjustRightInd w:val="0"/>
        <w:snapToGrid w:val="0"/>
        <w:spacing w:after="0" w:line="500" w:lineRule="exact"/>
        <w:ind w:firstLine="640" w:firstLineChars="200"/>
        <w:rPr>
          <w:rFonts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hint="default" w:ascii="仿宋_GB2312" w:eastAsia="仿宋_GB2312" w:cs="DengXian-Regular"/>
          <w:sz w:val="32"/>
          <w:szCs w:val="32"/>
          <w:highlight w:val="yellow"/>
          <w:lang w:val="en-US" w:eastAsia="zh-CN"/>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255.56</w:t>
      </w:r>
      <w:r>
        <w:rPr>
          <w:rFonts w:hint="eastAsia" w:ascii="仿宋_GB2312" w:eastAsia="仿宋_GB2312" w:cs="DengXian-Regular"/>
          <w:sz w:val="32"/>
          <w:szCs w:val="32"/>
        </w:rPr>
        <w:t>万元，比年初预算数增加</w:t>
      </w:r>
      <w:r>
        <w:rPr>
          <w:rFonts w:hint="eastAsia" w:ascii="仿宋_GB2312" w:eastAsia="仿宋_GB2312" w:cs="DengXian-Regular"/>
          <w:sz w:val="32"/>
          <w:szCs w:val="32"/>
          <w:lang w:val="en-US" w:eastAsia="zh-CN"/>
        </w:rPr>
        <w:t>101.53</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65.92</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环保、土地执法、信访费用增加</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辆，比上年</w:t>
      </w:r>
      <w:r>
        <w:rPr>
          <w:rFonts w:hint="eastAsia" w:ascii="仿宋_GB2312" w:eastAsia="仿宋_GB2312" w:cs="DengXian-Regular"/>
          <w:sz w:val="32"/>
          <w:szCs w:val="32"/>
          <w:lang w:eastAsia="zh-CN"/>
        </w:rPr>
        <w:t>车辆增减无变化</w:t>
      </w:r>
      <w:r>
        <w:rPr>
          <w:rFonts w:hint="eastAsia" w:ascii="仿宋_GB2312" w:eastAsia="仿宋_GB2312" w:cs="DengXian-Regular"/>
          <w:sz w:val="32"/>
          <w:szCs w:val="32"/>
        </w:rPr>
        <w:t>，</w:t>
      </w:r>
      <w:r>
        <w:rPr>
          <w:rFonts w:hint="eastAsia" w:ascii="仿宋_GB2312" w:eastAsia="仿宋_GB2312" w:cs="DengXian-Regular"/>
          <w:sz w:val="32"/>
          <w:szCs w:val="32"/>
          <w:lang w:eastAsia="zh-CN"/>
        </w:rPr>
        <w:t>未购置公务用车</w:t>
      </w:r>
      <w:r>
        <w:rPr>
          <w:rFonts w:hint="eastAsia" w:ascii="仿宋_GB2312" w:eastAsia="仿宋_GB2312" w:cs="DengXian-Regular"/>
          <w:sz w:val="32"/>
          <w:szCs w:val="32"/>
        </w:rPr>
        <w:t>。其中，副部（省）级及以上领导用车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消防车辆</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未购置单位价值</w:t>
      </w:r>
      <w:r>
        <w:rPr>
          <w:rFonts w:hint="eastAsia" w:ascii="仿宋_GB2312" w:eastAsia="仿宋_GB2312" w:cs="DengXian-Regular"/>
          <w:sz w:val="32"/>
          <w:szCs w:val="32"/>
          <w:lang w:val="en-US" w:eastAsia="zh-CN"/>
        </w:rPr>
        <w:t>50万元以上通用设备</w:t>
      </w:r>
      <w:r>
        <w:rPr>
          <w:rFonts w:hint="eastAsia" w:ascii="仿宋_GB2312"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未购置</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1、本部门2018年度无政府性基金预算财政</w:t>
      </w:r>
      <w:r>
        <w:rPr>
          <w:rFonts w:hint="eastAsia" w:ascii="仿宋_GB2312" w:eastAsia="仿宋_GB2312" w:cs="DengXian-Regular"/>
          <w:sz w:val="32"/>
          <w:szCs w:val="32"/>
          <w:lang w:eastAsia="zh-CN"/>
        </w:rPr>
        <w:t>收支、国有资本经营预算财政</w:t>
      </w:r>
      <w:r>
        <w:rPr>
          <w:rFonts w:hint="eastAsia" w:ascii="仿宋_GB2312" w:eastAsia="仿宋_GB2312" w:cs="DengXian-Regular"/>
          <w:sz w:val="32"/>
          <w:szCs w:val="32"/>
        </w:rPr>
        <w:t>收支及</w:t>
      </w:r>
      <w:r>
        <w:rPr>
          <w:rFonts w:hint="eastAsia" w:ascii="仿宋_GB2312" w:eastAsia="仿宋_GB2312" w:cs="DengXian-Regular"/>
          <w:sz w:val="32"/>
          <w:szCs w:val="32"/>
          <w:lang w:eastAsia="zh-CN"/>
        </w:rPr>
        <w:t>政府采购、</w:t>
      </w:r>
      <w:r>
        <w:rPr>
          <w:rFonts w:hint="eastAsia" w:ascii="仿宋_GB2312" w:eastAsia="仿宋_GB2312" w:cs="DengXian-Regular"/>
          <w:sz w:val="32"/>
          <w:szCs w:val="32"/>
        </w:rPr>
        <w:t>结转结余情况，故政府性基金预算财政拨款收入支出决算表</w:t>
      </w:r>
      <w:r>
        <w:rPr>
          <w:rFonts w:hint="eastAsia" w:ascii="仿宋_GB2312" w:eastAsia="仿宋_GB2312" w:cs="DengXian-Regular"/>
          <w:sz w:val="32"/>
          <w:szCs w:val="32"/>
          <w:lang w:eastAsia="zh-CN"/>
        </w:rPr>
        <w:t>、国有资本经营预算财政拨款支出决算表、政府采购情况表</w:t>
      </w:r>
      <w:r>
        <w:rPr>
          <w:rFonts w:hint="eastAsia" w:ascii="仿宋_GB2312" w:eastAsia="仿宋_GB2312" w:cs="DengXian-Regular"/>
          <w:sz w:val="32"/>
          <w:szCs w:val="32"/>
        </w:rPr>
        <w:t>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8179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360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82816;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8384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155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63E323B-06E3-416D-B7E5-23498F46D0F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ACDB1BDF-F5A3-4647-8A4A-7D6407307FF7}"/>
  </w:font>
  <w:font w:name="楷体">
    <w:panose1 w:val="02010609060101010101"/>
    <w:charset w:val="86"/>
    <w:family w:val="modern"/>
    <w:pitch w:val="default"/>
    <w:sig w:usb0="800002BF" w:usb1="38CF7CFA" w:usb2="00000016" w:usb3="00000000" w:csb0="00040001" w:csb1="00000000"/>
    <w:embedRegular r:id="rId3" w:fontKey="{DA535608-98C4-4A09-9DFE-3467059DA6DE}"/>
  </w:font>
  <w:font w:name="楷体_GB2312">
    <w:panose1 w:val="02010609030101010101"/>
    <w:charset w:val="86"/>
    <w:family w:val="modern"/>
    <w:pitch w:val="default"/>
    <w:sig w:usb0="00000001" w:usb1="080E0000" w:usb2="00000000" w:usb3="00000000" w:csb0="00040000" w:csb1="00000000"/>
    <w:embedRegular r:id="rId4" w:fontKey="{077FA41F-4CBD-4F1E-B7E0-D356D74AFF89}"/>
  </w:font>
  <w:font w:name="仿宋_GB2312">
    <w:panose1 w:val="02010609030101010101"/>
    <w:charset w:val="86"/>
    <w:family w:val="auto"/>
    <w:pitch w:val="default"/>
    <w:sig w:usb0="00000001" w:usb1="080E0000" w:usb2="00000000" w:usb3="00000000" w:csb0="00040000" w:csb1="00000000"/>
    <w:embedRegular r:id="rId5" w:fontKey="{04825327-7C57-4035-A1EE-90C35115A0A0}"/>
  </w:font>
  <w:font w:name="ArialUnicodeMS">
    <w:altName w:val="Batang"/>
    <w:panose1 w:val="00000000000000000000"/>
    <w:charset w:val="81"/>
    <w:family w:val="auto"/>
    <w:pitch w:val="default"/>
    <w:sig w:usb0="00000000" w:usb1="00000000" w:usb2="00000010" w:usb3="00000000" w:csb0="00080001" w:csb1="00000000"/>
    <w:embedRegular r:id="rId6" w:fontKey="{A0C8BE96-EA87-4FA0-81BC-92530D519531}"/>
  </w:font>
  <w:font w:name="Batang">
    <w:panose1 w:val="02030600000101010101"/>
    <w:charset w:val="81"/>
    <w:family w:val="auto"/>
    <w:pitch w:val="default"/>
    <w:sig w:usb0="B00002AF" w:usb1="69D77CFB" w:usb2="00000030" w:usb3="00000000" w:csb0="4008009F" w:csb1="DFD70000"/>
  </w:font>
  <w:font w:name="MS-UIGothic,Bold">
    <w:altName w:val="Batang"/>
    <w:panose1 w:val="00000000000000000000"/>
    <w:charset w:val="81"/>
    <w:family w:val="auto"/>
    <w:pitch w:val="default"/>
    <w:sig w:usb0="00000000" w:usb1="00000000" w:usb2="00000010" w:usb3="00000000" w:csb0="00080000" w:csb1="00000000"/>
    <w:embedRegular r:id="rId7" w:fontKey="{6DBF24FE-4457-4406-8E6B-FB49C30E5A38}"/>
  </w:font>
  <w:font w:name="DengXian-Regular">
    <w:altName w:val="宋体"/>
    <w:panose1 w:val="00000000000000000000"/>
    <w:charset w:val="86"/>
    <w:family w:val="auto"/>
    <w:pitch w:val="default"/>
    <w:sig w:usb0="00000000" w:usb1="00000000" w:usb2="00000010" w:usb3="00000000" w:csb0="00040001" w:csb1="00000000"/>
    <w:embedRegular r:id="rId8" w:fontKey="{CB91A69E-B468-4ACF-8B22-E4076FBBCC69}"/>
  </w:font>
  <w:font w:name="DengXian-Bold">
    <w:altName w:val="宋体"/>
    <w:panose1 w:val="00000000000000000000"/>
    <w:charset w:val="86"/>
    <w:family w:val="auto"/>
    <w:pitch w:val="default"/>
    <w:sig w:usb0="00000000" w:usb1="00000000" w:usb2="00000010" w:usb3="00000000" w:csb0="00040001" w:csb1="00000000"/>
    <w:embedRegular r:id="rId9" w:fontKey="{5D362551-F600-4A23-BD97-499713398B3E}"/>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Tc1ZWRjNjE1ZTI5ZjZkN2UzNjczZWE2MzdhNWMzOWI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4EDA"/>
    <w:rsid w:val="00FD3BD5"/>
    <w:rsid w:val="00FE3DC8"/>
    <w:rsid w:val="04073F84"/>
    <w:rsid w:val="06570D31"/>
    <w:rsid w:val="06737D47"/>
    <w:rsid w:val="06A23C0F"/>
    <w:rsid w:val="076A0DA6"/>
    <w:rsid w:val="09BC2C5F"/>
    <w:rsid w:val="0B60750A"/>
    <w:rsid w:val="0B7136A1"/>
    <w:rsid w:val="0F8237CA"/>
    <w:rsid w:val="10686488"/>
    <w:rsid w:val="10DF728A"/>
    <w:rsid w:val="1113671A"/>
    <w:rsid w:val="1264200E"/>
    <w:rsid w:val="141C5B77"/>
    <w:rsid w:val="18D8339D"/>
    <w:rsid w:val="1A21388F"/>
    <w:rsid w:val="1A570D2F"/>
    <w:rsid w:val="28FB0B8D"/>
    <w:rsid w:val="2A9870FC"/>
    <w:rsid w:val="2D2B7942"/>
    <w:rsid w:val="2D46481D"/>
    <w:rsid w:val="2E733B28"/>
    <w:rsid w:val="31852B5A"/>
    <w:rsid w:val="32D01238"/>
    <w:rsid w:val="3DFC59A8"/>
    <w:rsid w:val="3ECF245E"/>
    <w:rsid w:val="3FB96314"/>
    <w:rsid w:val="53A44FAF"/>
    <w:rsid w:val="594329EC"/>
    <w:rsid w:val="5A766954"/>
    <w:rsid w:val="5BEE1540"/>
    <w:rsid w:val="5DE61A5D"/>
    <w:rsid w:val="63C04243"/>
    <w:rsid w:val="649C01C7"/>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5.jpeg"/><Relationship Id="rId14" Type="http://schemas.openxmlformats.org/officeDocument/2006/relationships/chart" Target="charts/chart5.xml"/><Relationship Id="rId13" Type="http://schemas.openxmlformats.org/officeDocument/2006/relationships/chart" Target="charts/chart4.xml"/><Relationship Id="rId12" Type="http://schemas.openxmlformats.org/officeDocument/2006/relationships/image" Target="media/image4.png"/><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决算收入</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财政拨款收入100%</a:t>
                    </a:r>
                  </a:p>
                </c:rich>
              </c:tx>
              <c:dLblPos val="inEnd"/>
              <c:showLegendKey val="0"/>
              <c:showVal val="0"/>
              <c:showCatName val="0"/>
              <c:showSerName val="0"/>
              <c:showPercent val="1"/>
              <c:showBubbleSize val="0"/>
              <c:extLst>
                <c:ext xmlns:c15="http://schemas.microsoft.com/office/drawing/2012/chart" uri="{CE6537A1-D6FC-4f65-9D91-7224C49458BB}"/>
              </c:extLst>
            </c:dLbl>
            <c:dLbl>
              <c:idx val="1"/>
              <c:delete val="1"/>
            </c:dLbl>
            <c:dLbl>
              <c:idx val="2"/>
              <c:delete val="1"/>
            </c:dLbl>
            <c:dLbl>
              <c:idx val="3"/>
              <c:layout>
                <c:manualLayout>
                  <c:x val="0.00507111329457048"/>
                  <c:y val="0.127129032257463"/>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事业收入0%</a:t>
                    </a:r>
                  </a:p>
                  <a:p>
                    <a:pPr defTabSz="914400">
                      <a:defRPr lang="zh-CN" sz="900" b="0" i="0" u="none" strike="noStrike" kern="1200" baseline="0">
                        <a:solidFill>
                          <a:schemeClr val="tx1">
                            <a:lumMod val="75000"/>
                            <a:lumOff val="25000"/>
                          </a:schemeClr>
                        </a:solidFill>
                        <a:latin typeface="+mn-lt"/>
                        <a:ea typeface="+mn-ea"/>
                        <a:cs typeface="+mn-cs"/>
                      </a:defRPr>
                    </a:pPr>
                    <a:r>
                      <a:t>经营收入</a:t>
                    </a:r>
                    <a:r>
                      <a:rPr lang="en-US" altLang="zh-CN"/>
                      <a:t>0%</a:t>
                    </a:r>
                    <a:endParaRPr lang="en-US" altLang="zh-CN"/>
                  </a:p>
                  <a:p>
                    <a:pPr defTabSz="914400">
                      <a:defRPr lang="zh-CN" sz="900" b="0" i="0" u="none" strike="noStrike" kern="1200" baseline="0">
                        <a:solidFill>
                          <a:schemeClr val="tx1">
                            <a:lumMod val="75000"/>
                            <a:lumOff val="25000"/>
                          </a:schemeClr>
                        </a:solidFill>
                        <a:latin typeface="+mn-lt"/>
                        <a:ea typeface="+mn-ea"/>
                        <a:cs typeface="+mn-cs"/>
                      </a:defRPr>
                    </a:pPr>
                    <a:r>
                      <a:t>其他收入</a:t>
                    </a:r>
                    <a:r>
                      <a:rPr lang="en-US" altLang="zh-CN"/>
                      <a:t>0%</a:t>
                    </a:r>
                    <a:endParaRPr lang="en-US" altLang="zh-CN"/>
                  </a:p>
                </c:rich>
              </c:tx>
              <c:dLblPos val="bestFi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事业收入</c:v>
                </c:pt>
                <c:pt idx="2">
                  <c:v>经营收入</c:v>
                </c:pt>
                <c:pt idx="3">
                  <c:v>其他收入</c:v>
                </c:pt>
              </c:strCache>
            </c:strRef>
          </c:cat>
          <c:val>
            <c:numRef>
              <c:f>Sheet1!$B$2:$B$5</c:f>
              <c:numCache>
                <c:formatCode>General</c:formatCode>
                <c:ptCount val="4"/>
                <c:pt idx="0">
                  <c:v>6360.2</c:v>
                </c:pt>
                <c:pt idx="1">
                  <c:v>0</c:v>
                </c:pt>
                <c:pt idx="2">
                  <c:v>0</c:v>
                </c:pt>
                <c:pt idx="3">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决算支出</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altLang="en-US"/>
                      <a:t>基本支出</a:t>
                    </a:r>
                    <a:r>
                      <a:rPr lang="en-US" altLang="zh-CN"/>
                      <a:t>99.32</a:t>
                    </a:r>
                    <a:r>
                      <a:t>%</a:t>
                    </a:r>
                  </a:p>
                </c:rich>
              </c:tx>
              <c:dLblPos val="inEnd"/>
              <c:showLegendKey val="0"/>
              <c:showVal val="0"/>
              <c:showCatName val="0"/>
              <c:showSerName val="0"/>
              <c:showPercent val="1"/>
              <c:showBubbleSize val="0"/>
              <c:extLst>
                <c:ext xmlns:c15="http://schemas.microsoft.com/office/drawing/2012/chart" uri="{CE6537A1-D6FC-4f65-9D91-7224C49458BB}"/>
              </c:extLst>
            </c:dLbl>
            <c:dLbl>
              <c:idx val="1"/>
              <c:delete val="1"/>
            </c:dLbl>
            <c:dLbl>
              <c:idx val="2"/>
              <c:layout>
                <c:manualLayout>
                  <c:x val="-0.00805631329286324"/>
                  <c:y val="0.197134990115124"/>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altLang="en-US"/>
                      <a:t>项目支出</a:t>
                    </a:r>
                    <a:r>
                      <a:rPr lang="en-US" altLang="zh-CN"/>
                      <a:t>0.68</a:t>
                    </a:r>
                    <a:r>
                      <a:t>%</a:t>
                    </a:r>
                  </a:p>
                  <a:p>
                    <a:pPr defTabSz="914400">
                      <a:defRPr lang="zh-CN" sz="900" b="0" i="0" u="none" strike="noStrike" kern="1200" baseline="0">
                        <a:solidFill>
                          <a:schemeClr val="tx1">
                            <a:lumMod val="75000"/>
                            <a:lumOff val="25000"/>
                          </a:schemeClr>
                        </a:solidFill>
                        <a:latin typeface="+mn-lt"/>
                        <a:ea typeface="+mn-ea"/>
                        <a:cs typeface="+mn-cs"/>
                      </a:defRPr>
                    </a:pPr>
                    <a:r>
                      <a:t>经营支出</a:t>
                    </a:r>
                    <a:r>
                      <a:rPr lang="en-US" altLang="zh-CN"/>
                      <a:t>0%</a:t>
                    </a:r>
                    <a:endParaRPr lang="en-US" altLang="zh-CN"/>
                  </a:p>
                </c:rich>
              </c:tx>
              <c:dLblPos val="bestFit"/>
              <c:showLegendKey val="0"/>
              <c:showVal val="0"/>
              <c:showCatName val="0"/>
              <c:showSerName val="0"/>
              <c:showPercent val="1"/>
              <c:showBubbleSize val="0"/>
              <c:extLst>
                <c:ext xmlns:c15="http://schemas.microsoft.com/office/drawing/2012/chart" uri="{CE6537A1-D6FC-4f65-9D91-7224C49458BB}">
                  <c15:layout>
                    <c:manualLayout>
                      <c:w val="0.273003938417472"/>
                      <c:h val="0.182434340581757"/>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基本支出</c:v>
                </c:pt>
                <c:pt idx="1">
                  <c:v>项目支出</c:v>
                </c:pt>
                <c:pt idx="2">
                  <c:v>经营支出</c:v>
                </c:pt>
              </c:strCache>
            </c:strRef>
          </c:cat>
          <c:val>
            <c:numRef>
              <c:f>Sheet1!$B$2:$B$4</c:f>
              <c:numCache>
                <c:formatCode>General</c:formatCode>
                <c:ptCount val="3"/>
                <c:pt idx="0">
                  <c:v>7450.01</c:v>
                </c:pt>
                <c:pt idx="1">
                  <c:v>51.17</c:v>
                </c:pt>
                <c:pt idx="2">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57071249552453"/>
          <c:y val="0.205026828579497"/>
          <c:w val="0.231650554958826"/>
          <c:h val="0.375882519062412"/>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决算对比</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2017年</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6360.2</c:v>
                </c:pt>
                <c:pt idx="1">
                  <c:v>6360.2</c:v>
                </c:pt>
              </c:numCache>
            </c:numRef>
          </c:val>
        </c:ser>
        <c:ser>
          <c:idx val="1"/>
          <c:order val="1"/>
          <c:tx>
            <c:strRef>
              <c:f>Sheet1!$C$1</c:f>
              <c:strCache>
                <c:ptCount val="1"/>
                <c:pt idx="0">
                  <c:v>2018年</c:v>
                </c:pt>
              </c:strCache>
            </c:strRef>
          </c:tx>
          <c:spPr>
            <a:solidFill>
              <a:schemeClr val="accent2">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7501.18</c:v>
                </c:pt>
                <c:pt idx="1">
                  <c:v>7501.18</c:v>
                </c:pt>
              </c:numCache>
            </c:numRef>
          </c:val>
        </c:ser>
        <c:dLbls>
          <c:showLegendKey val="0"/>
          <c:showVal val="1"/>
          <c:showCatName val="0"/>
          <c:showSerName val="0"/>
          <c:showPercent val="0"/>
          <c:showBubbleSize val="0"/>
        </c:dLbls>
        <c:gapWidth val="219"/>
        <c:overlap val="-27"/>
        <c:axId val="935324510"/>
        <c:axId val="21400549"/>
      </c:barChart>
      <c:catAx>
        <c:axId val="935324510"/>
        <c:scaling>
          <c:orientation val="minMax"/>
        </c:scaling>
        <c:delete val="0"/>
        <c:axPos val="b"/>
        <c:numFmt formatCode="&quot;￥&quot;#,##0.00_);[Red]\(&quot;￥&quot;#,##0.0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400549"/>
        <c:crosses val="autoZero"/>
        <c:auto val="1"/>
        <c:lblAlgn val="ctr"/>
        <c:lblOffset val="100"/>
        <c:noMultiLvlLbl val="0"/>
      </c:catAx>
      <c:valAx>
        <c:axId val="2140054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5324510"/>
        <c:crosses val="autoZero"/>
        <c:crossBetween val="between"/>
      </c:valAx>
      <c:spPr>
        <a:noFill/>
        <a:ln>
          <a:noFill/>
        </a:ln>
        <a:effectLst/>
      </c:spPr>
    </c:plotArea>
    <c:legend>
      <c:legendPos val="b"/>
      <c:layout>
        <c:manualLayout>
          <c:xMode val="edge"/>
          <c:yMode val="edge"/>
          <c:x val="0.284178462641104"/>
          <c:y val="0.91065714988924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与预算对比</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年初预算数</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7596.08</c:v>
                </c:pt>
                <c:pt idx="1">
                  <c:v>7596.08</c:v>
                </c:pt>
              </c:numCache>
            </c:numRef>
          </c:val>
        </c:ser>
        <c:ser>
          <c:idx val="1"/>
          <c:order val="1"/>
          <c:tx>
            <c:strRef>
              <c:f>Sheet1!$C$1</c:f>
              <c:strCache>
                <c:ptCount val="1"/>
                <c:pt idx="0">
                  <c:v>决算数</c:v>
                </c:pt>
              </c:strCache>
            </c:strRef>
          </c:tx>
          <c:spPr>
            <a:solidFill>
              <a:schemeClr val="accent2">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7501.18</c:v>
                </c:pt>
                <c:pt idx="1">
                  <c:v>7501.18</c:v>
                </c:pt>
              </c:numCache>
            </c:numRef>
          </c:val>
        </c:ser>
        <c:dLbls>
          <c:showLegendKey val="0"/>
          <c:showVal val="1"/>
          <c:showCatName val="0"/>
          <c:showSerName val="0"/>
          <c:showPercent val="0"/>
          <c:showBubbleSize val="0"/>
        </c:dLbls>
        <c:gapWidth val="219"/>
        <c:overlap val="-27"/>
        <c:axId val="935324510"/>
        <c:axId val="21400549"/>
      </c:barChart>
      <c:catAx>
        <c:axId val="935324510"/>
        <c:scaling>
          <c:orientation val="minMax"/>
        </c:scaling>
        <c:delete val="0"/>
        <c:axPos val="b"/>
        <c:numFmt formatCode="&quot;￥&quot;#,##0.00_);[Red]\(&quot;￥&quot;#,##0.0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400549"/>
        <c:crosses val="autoZero"/>
        <c:auto val="1"/>
        <c:lblAlgn val="ctr"/>
        <c:lblOffset val="100"/>
        <c:noMultiLvlLbl val="0"/>
      </c:catAx>
      <c:valAx>
        <c:axId val="2140054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5324510"/>
        <c:crosses val="autoZero"/>
        <c:crossBetween val="between"/>
      </c:valAx>
      <c:spPr>
        <a:noFill/>
        <a:ln>
          <a:noFill/>
        </a:ln>
        <a:effectLst/>
      </c:spPr>
    </c:plotArea>
    <c:legend>
      <c:legendPos val="b"/>
      <c:layout>
        <c:manualLayout>
          <c:xMode val="edge"/>
          <c:yMode val="edge"/>
          <c:x val="0.287762049811862"/>
          <c:y val="0.90404440919904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0" i="0" u="none" strike="noStrike" kern="1200" baseline="0">
                <a:solidFill>
                  <a:schemeClr val="dk1">
                    <a:lumMod val="75000"/>
                    <a:lumOff val="25000"/>
                  </a:schemeClr>
                </a:solidFill>
                <a:latin typeface="+mn-lt"/>
                <a:ea typeface="+mn-ea"/>
                <a:cs typeface="+mn-cs"/>
              </a:defRPr>
            </a:pPr>
            <a:r>
              <a:rPr b="0"/>
              <a:t>决算支出</a:t>
            </a:r>
            <a:endParaRPr b="0"/>
          </a:p>
        </c:rich>
      </c:tx>
      <c:layout>
        <c:manualLayout>
          <c:xMode val="edge"/>
          <c:yMode val="edge"/>
          <c:x val="0.344074471894021"/>
          <c:y val="0.00847218299915278"/>
        </c:manualLayout>
      </c:layout>
      <c:overlay val="0"/>
      <c:spPr>
        <a:noFill/>
        <a:ln>
          <a:noFill/>
        </a:ln>
        <a:effectLst/>
      </c:spPr>
    </c:title>
    <c:autoTitleDeleted val="0"/>
    <c:plotArea>
      <c:layout>
        <c:manualLayout>
          <c:layoutTarget val="inner"/>
          <c:xMode val="edge"/>
          <c:yMode val="edge"/>
          <c:x val="0.0413689356901091"/>
          <c:y val="0.268492031058439"/>
          <c:w val="0.568634825122226"/>
          <c:h val="0.617899468737229"/>
        </c:manualLayout>
      </c:layout>
      <c:pieChart>
        <c:varyColors val="1"/>
        <c:ser>
          <c:idx val="0"/>
          <c:order val="0"/>
          <c:tx>
            <c:strRef>
              <c:f>Sheet1!$B$1</c:f>
              <c:strCache>
                <c:ptCount val="1"/>
                <c:pt idx="0">
                  <c:v>销售额</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dLbl>
              <c:idx val="0"/>
              <c:layout>
                <c:manualLayout>
                  <c:x val="0.0332243564607134"/>
                  <c:y val="-0.0260403476868737"/>
                </c:manualLayout>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solidFill>
                        <a:latin typeface="+mn-lt"/>
                        <a:ea typeface="+mn-ea"/>
                        <a:cs typeface="+mn-cs"/>
                      </a:defRPr>
                    </a:pPr>
                    <a:r>
                      <a:rPr b="0">
                        <a:solidFill>
                          <a:schemeClr val="tx1"/>
                        </a:solidFill>
                      </a:rPr>
                      <a:t>一般公共服务类支出</a:t>
                    </a:r>
                    <a:r>
                      <a:rPr lang="en-US" altLang="zh-CN" b="0">
                        <a:solidFill>
                          <a:schemeClr val="tx1"/>
                        </a:solidFill>
                      </a:rPr>
                      <a:t>14.57</a:t>
                    </a:r>
                    <a:r>
                      <a:rPr b="0">
                        <a:solidFill>
                          <a:schemeClr val="tx1"/>
                        </a:solidFill>
                      </a:rPr>
                      <a:t>%</a:t>
                    </a:r>
                    <a:endParaRPr b="0">
                      <a:solidFill>
                        <a:schemeClr val="tx1"/>
                      </a:solidFill>
                    </a:endParaRPr>
                  </a:p>
                </c:rich>
              </c:tx>
              <c:numFmt formatCode="General" sourceLinked="1"/>
              <c:spPr>
                <a:pattFill prst="pct75">
                  <a:fgClr>
                    <a:schemeClr val="bg1"/>
                  </a:fgClr>
                  <a:bgClr>
                    <a:schemeClr val="bg1"/>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0.342045434672278"/>
                  <c:y val="-0.171359106226173"/>
                </c:manualLayout>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solidFill>
                        <a:latin typeface="+mn-lt"/>
                        <a:ea typeface="+mn-ea"/>
                        <a:cs typeface="+mn-cs"/>
                      </a:defRPr>
                    </a:pPr>
                    <a:r>
                      <a:rPr b="0">
                        <a:solidFill>
                          <a:schemeClr val="tx1"/>
                        </a:solidFill>
                      </a:rPr>
                      <a:t>教育类支出, </a:t>
                    </a:r>
                    <a:r>
                      <a:rPr lang="en-US" altLang="zh-CN" b="0">
                        <a:solidFill>
                          <a:schemeClr val="tx1"/>
                        </a:solidFill>
                      </a:rPr>
                      <a:t>75.55%</a:t>
                    </a:r>
                    <a:endParaRPr lang="en-US" altLang="zh-CN" b="0">
                      <a:solidFill>
                        <a:schemeClr val="tx1"/>
                      </a:solidFill>
                    </a:endParaRPr>
                  </a:p>
                </c:rich>
              </c:tx>
              <c:numFmt formatCode="#,##0.00_);[Red]\(#,##0.00\)" sourceLinked="0"/>
              <c:spPr>
                <a:noFill/>
                <a:ln w="6350">
                  <a:noFill/>
                  <a:round/>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1"/>
              <c:showVal val="1"/>
              <c:showCatName val="1"/>
              <c:showSerName val="1"/>
              <c:showPercent val="1"/>
              <c:showBubbleSize val="1"/>
              <c:extLst>
                <c:ext xmlns:c15="http://schemas.microsoft.com/office/drawing/2012/chart" uri="{CE6537A1-D6FC-4f65-9D91-7224C49458BB}">
                  <c15:layout>
                    <c:manualLayout>
                      <c:w val="0.201729157476842"/>
                      <c:h val="0.23030303030303"/>
                    </c:manualLayout>
                  </c15:layout>
                </c:ext>
              </c:extLst>
            </c:dLbl>
            <c:dLbl>
              <c:idx val="2"/>
              <c:layout>
                <c:manualLayout>
                  <c:x val="-0.0694062316263385"/>
                  <c:y val="-0.00513772483785233"/>
                </c:manualLayout>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solidFill>
                        <a:latin typeface="+mn-lt"/>
                        <a:ea typeface="+mn-ea"/>
                        <a:cs typeface="+mn-cs"/>
                      </a:defRPr>
                    </a:pPr>
                    <a:r>
                      <a:rPr b="0">
                        <a:solidFill>
                          <a:schemeClr val="tx1"/>
                        </a:solidFill>
                      </a:rPr>
                      <a:t>社会保障和就业支出</a:t>
                    </a:r>
                    <a:r>
                      <a:rPr lang="en-US" altLang="zh-CN" b="0">
                        <a:solidFill>
                          <a:schemeClr val="tx1"/>
                        </a:solidFill>
                      </a:rPr>
                      <a:t>9.63</a:t>
                    </a:r>
                    <a:r>
                      <a:rPr b="0">
                        <a:solidFill>
                          <a:schemeClr val="tx1"/>
                        </a:solidFill>
                      </a:rPr>
                      <a:t>%</a:t>
                    </a:r>
                    <a:endParaRPr b="0">
                      <a:solidFill>
                        <a:schemeClr val="tx1"/>
                      </a:solidFill>
                    </a:endParaRPr>
                  </a:p>
                </c:rich>
              </c:tx>
              <c:numFmt formatCode="General" sourceLinked="1"/>
              <c:spPr>
                <a:solidFill>
                  <a:schemeClr val="bg1"/>
                </a:solid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extLst>
                <c:ext xmlns:c15="http://schemas.microsoft.com/office/drawing/2012/chart" uri="{CE6537A1-D6FC-4f65-9D91-7224C49458BB}">
                  <c15:layout>
                    <c:manualLayout>
                      <c:w val="0.243512598721324"/>
                      <c:h val="0.175521046178995"/>
                    </c:manualLayout>
                  </c15:layout>
                </c:ext>
              </c:extLst>
            </c:dLbl>
            <c:dLbl>
              <c:idx val="3"/>
              <c:layout>
                <c:manualLayout>
                  <c:x val="0.0187419019769849"/>
                  <c:y val="-0.0119070404428559"/>
                </c:manualLayout>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solidFill>
                        <a:latin typeface="+mn-lt"/>
                        <a:ea typeface="+mn-ea"/>
                        <a:cs typeface="+mn-cs"/>
                      </a:defRPr>
                    </a:pPr>
                    <a:r>
                      <a:rPr b="0">
                        <a:solidFill>
                          <a:schemeClr val="tx1"/>
                        </a:solidFill>
                      </a:rPr>
                      <a:t>农林水支出</a:t>
                    </a:r>
                    <a:r>
                      <a:rPr lang="en-US" altLang="zh-CN" b="0">
                        <a:solidFill>
                          <a:schemeClr val="tx1"/>
                        </a:solidFill>
                      </a:rPr>
                      <a:t>0.25</a:t>
                    </a:r>
                    <a:r>
                      <a:rPr b="0">
                        <a:solidFill>
                          <a:schemeClr val="tx1"/>
                        </a:solidFill>
                      </a:rPr>
                      <a:t>%</a:t>
                    </a:r>
                    <a:endParaRPr b="0">
                      <a:solidFill>
                        <a:schemeClr val="tx1"/>
                      </a:solidFill>
                    </a:endParaRPr>
                  </a:p>
                </c:rich>
              </c:tx>
              <c:numFmt formatCode="General" sourceLinked="1"/>
              <c:spPr>
                <a:solidFill>
                  <a:schemeClr val="bg1"/>
                </a:solid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extLst>
                <c:ext xmlns:c15="http://schemas.microsoft.com/office/drawing/2012/chart" uri="{CE6537A1-D6FC-4f65-9D91-7224C49458BB}">
                  <c15:layout/>
                </c:ext>
              </c:extLst>
            </c:dLbl>
            <c:spPr>
              <a:gradFill flip="none">
                <a:gsLst>
                  <a:gs pos="0">
                    <a:schemeClr val="lt1"/>
                  </a:gs>
                  <a:gs pos="39000">
                    <a:schemeClr val="lt1"/>
                  </a:gs>
                  <a:gs pos="100000">
                    <a:schemeClr val="lt1">
                      <a:lumMod val="75000"/>
                    </a:schemeClr>
                  </a:gs>
                </a:gsLst>
                <a:path path="circle"/>
              </a:grad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0"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spPr>
                    <a:ln w="9525">
                      <a:solidFill>
                        <a:schemeClr val="dk1">
                          <a:lumMod val="50000"/>
                          <a:lumOff val="50000"/>
                        </a:schemeClr>
                      </a:solidFill>
                    </a:ln>
                    <a:effectLst/>
                  </c:spPr>
                </c15:leaderLines>
              </c:ext>
            </c:extLst>
          </c:dLbls>
          <c:cat>
            <c:strRef>
              <c:f>Sheet1!$A$2:$A$5</c:f>
              <c:strCache>
                <c:ptCount val="4"/>
                <c:pt idx="0">
                  <c:v>一般公共服务类支出</c:v>
                </c:pt>
                <c:pt idx="1">
                  <c:v>教育类支出</c:v>
                </c:pt>
                <c:pt idx="2">
                  <c:v>社会保障和就业类支出</c:v>
                </c:pt>
                <c:pt idx="3">
                  <c:v>农林水支出</c:v>
                </c:pt>
              </c:strCache>
            </c:strRef>
          </c:cat>
          <c:val>
            <c:numRef>
              <c:f>Sheet1!$B$2:$B$5</c:f>
              <c:numCache>
                <c:formatCode>General</c:formatCode>
                <c:ptCount val="4"/>
                <c:pt idx="0">
                  <c:v>1092.53</c:v>
                </c:pt>
                <c:pt idx="1">
                  <c:v>5667.18</c:v>
                </c:pt>
                <c:pt idx="2">
                  <c:v>722.47</c:v>
                </c:pt>
                <c:pt idx="3">
                  <c:v>19</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Entry>
      <c:legendEntry>
        <c:idx val="1"/>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Entry>
      <c:legendEntry>
        <c:idx val="2"/>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Entry>
      <c:legendEntry>
        <c:idx val="3"/>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Entry>
      <c:layout>
        <c:manualLayout>
          <c:xMode val="edge"/>
          <c:yMode val="edge"/>
          <c:x val="0.665475742760436"/>
          <c:y val="0.149061464850939"/>
          <c:w val="0.27359909740504"/>
          <c:h val="0.424733161575267"/>
        </c:manualLayou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noFill/>
      <a:round/>
    </a:ln>
    <a:effectLst/>
  </c:spPr>
  <c:txPr>
    <a:bodyPr/>
    <a:lstStyle/>
    <a:p>
      <a:pPr>
        <a:defRPr lang="zh-CN" b="0"/>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94ECB2-1DAF-4240-AB65-51141F4A8E82}">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22</Pages>
  <Words>4482</Words>
  <Characters>4832</Characters>
  <Lines>46</Lines>
  <Paragraphs>13</Paragraphs>
  <TotalTime>1</TotalTime>
  <ScaleCrop>false</ScaleCrop>
  <LinksUpToDate>false</LinksUpToDate>
  <CharactersWithSpaces>4867</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乔木</cp:lastModifiedBy>
  <cp:lastPrinted>2019-10-24T08:38:00Z</cp:lastPrinted>
  <dcterms:modified xsi:type="dcterms:W3CDTF">2024-02-23T07:40:00Z</dcterms:modified>
  <dc:subject>石家庄市xxx部门</dc:subject>
  <dc:title>2017年度部门决算</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0B644765128047CAA1BE7B6763139769</vt:lpwstr>
  </property>
</Properties>
</file>