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藁城区科学技术协会</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月二十九日</w:t>
      </w:r>
    </w:p>
    <w:p>
      <w:pPr>
        <w:spacing w:before="624"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55168;mso-width-relative:page;mso-height-relative:page;" coordorigin="45,526" coordsize="85,13982"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top:526;height:11;width:85;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top:528;height:12;width:8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科协</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54144;mso-width-relative:page;mso-height-relative:page;" coordorigin="45,526" coordsize="85,13982"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top:526;height:11;width:85;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top:528;height:12;width:8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40832;mso-width-relative:page;mso-height-relative:page;" coordorigin="45,526" coordsize="85,13982"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top:526;height:11;width:85;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top:528;height:12;width:8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adjustRightInd w:val="0"/>
        <w:snapToGrid w:val="0"/>
        <w:spacing w:line="560" w:lineRule="exact"/>
        <w:ind w:firstLine="643"/>
        <w:jc w:val="left"/>
        <w:rPr>
          <w:sz w:val="30"/>
          <w:szCs w:val="30"/>
        </w:rPr>
      </w:pPr>
      <w:r>
        <w:rPr>
          <w:rFonts w:hint="eastAsia" w:cs="宋体"/>
          <w:sz w:val="30"/>
          <w:szCs w:val="30"/>
        </w:rPr>
        <w:t>石家庄市藁城区科学技术协会部门主要职责</w:t>
      </w:r>
    </w:p>
    <w:p>
      <w:pPr>
        <w:numPr>
          <w:ilvl w:val="0"/>
          <w:numId w:val="1"/>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djustRightInd w:val="0"/>
        <w:ind w:firstLine="600" w:firstLineChars="200"/>
        <w:rPr>
          <w:sz w:val="30"/>
          <w:szCs w:val="30"/>
        </w:rPr>
      </w:pPr>
      <w:r>
        <w:rPr>
          <w:rFonts w:hint="eastAsia" w:cs="宋体"/>
          <w:sz w:val="30"/>
          <w:szCs w:val="30"/>
        </w:rPr>
        <w:t>科学技术普及、开展科普活动、科普能力建设。</w:t>
      </w:r>
    </w:p>
    <w:p>
      <w:pPr>
        <w:numPr>
          <w:ilvl w:val="0"/>
          <w:numId w:val="1"/>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djustRightInd w:val="0"/>
        <w:ind w:firstLine="600" w:firstLineChars="200"/>
        <w:rPr>
          <w:sz w:val="30"/>
          <w:szCs w:val="30"/>
        </w:rPr>
      </w:pPr>
      <w:r>
        <w:rPr>
          <w:rFonts w:hint="eastAsia" w:cs="宋体"/>
          <w:sz w:val="30"/>
          <w:szCs w:val="30"/>
        </w:rPr>
        <w:t>综合业务管理。</w:t>
      </w:r>
    </w:p>
    <w:p>
      <w:pPr>
        <w:numPr>
          <w:ilvl w:val="0"/>
          <w:numId w:val="1"/>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djustRightInd w:val="0"/>
        <w:ind w:firstLine="600" w:firstLineChars="200"/>
        <w:rPr>
          <w:sz w:val="30"/>
          <w:szCs w:val="30"/>
        </w:rPr>
      </w:pPr>
      <w:r>
        <w:rPr>
          <w:rFonts w:hint="eastAsia" w:cs="宋体"/>
          <w:sz w:val="30"/>
          <w:szCs w:val="30"/>
        </w:rPr>
        <w:t>负责系统综合业务管理和机关综合管理。</w:t>
      </w:r>
    </w:p>
    <w:p>
      <w:pPr>
        <w:autoSpaceDE w:val="0"/>
        <w:autoSpaceDN w:val="0"/>
        <w:adjustRightInd w:val="0"/>
        <w:spacing w:after="0" w:line="560" w:lineRule="exact"/>
        <w:jc w:val="left"/>
        <w:rPr>
          <w:rFonts w:ascii="仿宋_GB2312" w:eastAsia="仿宋_GB2312" w:cs="ArialUnicodeMS" w:hAnsiTheme="minorHAnsi"/>
          <w:kern w:val="0"/>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149"/>
        <w:gridCol w:w="2781"/>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149"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781"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149" w:type="dxa"/>
          </w:tcPr>
          <w:p>
            <w:pPr>
              <w:spacing w:after="0" w:line="560" w:lineRule="exact"/>
              <w:rPr>
                <w:rFonts w:ascii="仿宋_GB2312" w:eastAsia="仿宋_GB2312" w:cs="ArialUnicodeMS" w:hAnsiTheme="minorHAnsi"/>
                <w:kern w:val="0"/>
                <w:sz w:val="32"/>
                <w:szCs w:val="32"/>
              </w:rPr>
            </w:pPr>
            <w:r>
              <w:rPr>
                <w:rFonts w:hint="eastAsia" w:cs="宋体"/>
                <w:sz w:val="30"/>
                <w:szCs w:val="30"/>
              </w:rPr>
              <w:t>石家庄市藁城区科学技术协会</w:t>
            </w:r>
          </w:p>
        </w:tc>
        <w:tc>
          <w:tcPr>
            <w:tcW w:w="2781" w:type="dxa"/>
          </w:tcPr>
          <w:p>
            <w:pPr>
              <w:spacing w:after="0" w:line="560" w:lineRule="exact"/>
              <w:jc w:val="center"/>
              <w:rPr>
                <w:rFonts w:ascii="仿宋_GB2312" w:eastAsia="仿宋_GB2312" w:cs="ArialUnicodeMS" w:hAnsiTheme="minorHAnsi"/>
                <w:kern w:val="0"/>
                <w:sz w:val="32"/>
                <w:szCs w:val="32"/>
              </w:rPr>
            </w:pPr>
            <w:r>
              <w:rPr>
                <w:rFonts w:hint="eastAsia" w:ascii="仿宋_GB2312" w:eastAsia="仿宋_GB2312" w:cs="ArialUnicodeMS" w:hAnsiTheme="minorHAnsi"/>
                <w:kern w:val="0"/>
                <w:sz w:val="28"/>
                <w:szCs w:val="28"/>
              </w:rPr>
              <w:t>参公事业单位</w:t>
            </w:r>
          </w:p>
        </w:tc>
        <w:tc>
          <w:tcPr>
            <w:tcW w:w="2665" w:type="dxa"/>
          </w:tcPr>
          <w:p>
            <w:pPr>
              <w:spacing w:after="0" w:line="560" w:lineRule="exact"/>
              <w:jc w:val="center"/>
              <w:rPr>
                <w:rFonts w:ascii="仿宋_GB2312" w:eastAsia="仿宋_GB2312" w:cs="ArialUnicodeMS" w:hAnsiTheme="minorHAnsi"/>
                <w:kern w:val="0"/>
                <w:sz w:val="32"/>
                <w:szCs w:val="32"/>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149" w:type="dxa"/>
            <w:vAlign w:val="center"/>
          </w:tcPr>
          <w:p>
            <w:pPr>
              <w:spacing w:after="0" w:line="560" w:lineRule="exact"/>
              <w:rPr>
                <w:rFonts w:ascii="仿宋_GB2312" w:eastAsia="仿宋_GB2312" w:cs="ArialUnicodeMS" w:hAnsiTheme="minorHAnsi"/>
                <w:kern w:val="0"/>
                <w:sz w:val="32"/>
                <w:szCs w:val="32"/>
              </w:rPr>
            </w:pPr>
          </w:p>
        </w:tc>
        <w:tc>
          <w:tcPr>
            <w:tcW w:w="2781" w:type="dxa"/>
            <w:vAlign w:val="center"/>
          </w:tcPr>
          <w:p>
            <w:pPr>
              <w:spacing w:after="0" w:line="560" w:lineRule="exact"/>
              <w:rPr>
                <w:rFonts w:ascii="仿宋_GB2312" w:eastAsia="仿宋_GB2312" w:cs="ArialUnicodeMS" w:hAnsiTheme="minorHAnsi"/>
                <w:kern w:val="0"/>
                <w:sz w:val="32"/>
                <w:szCs w:val="32"/>
              </w:rPr>
            </w:pPr>
          </w:p>
        </w:tc>
        <w:tc>
          <w:tcPr>
            <w:tcW w:w="2665" w:type="dxa"/>
            <w:vAlign w:val="center"/>
          </w:tcPr>
          <w:p>
            <w:pPr>
              <w:spacing w:after="0" w:line="560" w:lineRule="exact"/>
              <w:rPr>
                <w:rFonts w:ascii="仿宋_GB2312" w:eastAsia="仿宋_GB2312" w:cs="ArialUnicodeMS" w:hAnsiTheme="minorHAnsi"/>
                <w:kern w:val="0"/>
                <w:sz w:val="32"/>
                <w:szCs w:val="32"/>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77.45pt;height:162.9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76672;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top:526;height:11;width:85;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top:528;height:12;width:8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本本部门2018年度收支总计（含结转和结余）90.86万元。与2017年度决算相比，收支各减少4.75万元，下降5%，主要原因是人员减少。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本部门2018年度本年收入合计90.86万元，其中：财政拨款收入90.86万元，占100%；事业收入0万元，占0%；经营收入0万元，占0%；其他收入0万元，占0%。如图所示：</w:t>
      </w: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114300" distR="114300">
            <wp:extent cx="5080000" cy="3810000"/>
            <wp:effectExtent l="4445" t="4445" r="20955" b="1460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r>
        <w:pict>
          <v:group id="_x0000_s1076" o:spid="_x0000_s1076" o:spt="203" style="position:absolute;left:0pt;margin-left:73.8pt;margin-top:8.3pt;height:247.35pt;width:303.05pt;z-index:251650048;mso-width-relative:page;mso-height-relative:page;" coordorigin="68,1800" coordsize="51,32442"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top:1800;height:29;width:51;"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7" cropleft="2131f" croptop="1490f" cropright="1218f" cropbottom="5217f" o:title=""/>
              <o:lock v:ext="edit" aspectratio="t"/>
            </v:shape>
            <v:shape id="_x0000_s1077" o:spid="_x0000_s1077" o:spt="202" type="#_x0000_t202" style="position:absolute;left:76;top:1829;height:4;width:3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920" w:firstLineChars="600"/>
        <w:rPr>
          <w:rFonts w:ascii="仿宋_GB2312" w:eastAsia="仿宋_GB2312" w:cs="DengXian-Regular"/>
          <w:sz w:val="32"/>
          <w:szCs w:val="32"/>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本部门2018年度本年支出合计90.86万元，其中：基本支出84.86万元，占94%；项目支出6万元，占6%；经营支出0万元，占0%。如图所示：</w:t>
      </w:r>
    </w:p>
    <w:p>
      <w:pPr>
        <w:adjustRightInd w:val="0"/>
        <w:snapToGrid w:val="0"/>
        <w:spacing w:after="0" w:line="240" w:lineRule="auto"/>
        <w:ind w:firstLine="1260" w:firstLineChars="600"/>
      </w:pP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114300" distR="114300">
            <wp:extent cx="5080000" cy="3810000"/>
            <wp:effectExtent l="4445" t="4445" r="20955" b="1460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pict>
          <v:group id="_x0000_s1073" o:spid="_x0000_s1073" o:spt="203" style="position:absolute;left:0pt;margin-left:59.55pt;margin-top:6.75pt;height:230.55pt;width:274.45pt;z-index:-251667456;mso-width-relative:page;mso-height-relative:page;" coordorigin="70,1907" coordsize="46,36072"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top:1907;height:29;width:46;"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7" cropleft="2131f" croptop="1490f" cropright="1218f" cropbottom="5217f" o:title=""/>
              <o:lock v:ext="edit" aspectratio="t"/>
            </v:shape>
            <v:shape id="_x0000_s1074" o:spid="_x0000_s1074" o:spt="202" type="#_x0000_t202" style="position:absolute;left:72;top:1936;height:7;width:42;"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240" w:lineRule="auto"/>
        <w:ind w:firstLine="2640" w:firstLineChars="600"/>
        <w:rPr>
          <w:rFonts w:ascii="仿宋_GB2312" w:eastAsia="仿宋_GB2312" w:cs="DengXian-Regular"/>
          <w:sz w:val="32"/>
          <w:szCs w:val="32"/>
        </w:rPr>
      </w:pPr>
      <w:r>
        <w:rPr>
          <w:sz w:val="44"/>
        </w:rPr>
        <w:pict>
          <v:group id="_x0000_s1070" o:spid="_x0000_s1070" o:spt="203" style="position:absolute;left:0pt;margin-left:-0.55pt;margin-top:29.3pt;height:43.95pt;width:301.85pt;mso-position-horizontal-relative:page;mso-position-vertical-relative:page;z-index:251666432;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top:526;height:11;width:85;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top:528;height:12;width:8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240" w:lineRule="auto"/>
        <w:ind w:firstLine="1920" w:firstLineChars="600"/>
        <w:rPr>
          <w:rFonts w:ascii="仿宋_GB2312" w:eastAsia="仿宋_GB2312" w:cs="DengXian-Regular"/>
          <w:sz w:val="32"/>
          <w:szCs w:val="32"/>
        </w:rPr>
      </w:pPr>
    </w:p>
    <w:p>
      <w:pPr>
        <w:pStyle w:val="3"/>
        <w:snapToGrid w:val="0"/>
        <w:spacing w:before="0" w:after="0" w:line="240" w:lineRule="auto"/>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90.86万元,比2017年度减少4.75万元，降低5%，主要是退休人员去世一人；本年支出90.86万元，减少4.75万元，降低5%，主要是退休人员是人员减少。</w:t>
      </w:r>
    </w:p>
    <w:p>
      <w:pPr>
        <w:adjustRightInd w:val="0"/>
        <w:snapToGrid w:val="0"/>
        <w:spacing w:after="0" w:line="360" w:lineRule="auto"/>
        <w:ind w:firstLine="420" w:firstLineChars="200"/>
        <w:rPr>
          <w:rFonts w:ascii="仿宋_GB2312" w:eastAsia="仿宋_GB2312" w:cs="DengXian-Regular"/>
          <w:sz w:val="32"/>
          <w:szCs w:val="32"/>
        </w:rPr>
      </w:pPr>
      <w:r>
        <w:drawing>
          <wp:inline distT="0" distB="0" distL="0" distR="0">
            <wp:extent cx="4219575" cy="2519045"/>
            <wp:effectExtent l="0" t="0" r="952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after="0" w:line="360" w:lineRule="auto"/>
        <w:ind w:firstLine="420" w:firstLineChars="200"/>
        <w:rPr>
          <w:rFonts w:ascii="仿宋_GB2312" w:eastAsia="仿宋_GB2312" w:cs="DengXian-Regular"/>
          <w:sz w:val="32"/>
          <w:szCs w:val="32"/>
        </w:rPr>
      </w:pPr>
      <w:r>
        <w:pict>
          <v:group id="_x0000_s1064" o:spid="_x0000_s1064" o:spt="203" style="position:absolute;left:0pt;margin-left:51.25pt;margin-top:13.45pt;height:210.05pt;width:331.1pt;z-index:-251635712;mso-width-relative:page;mso-height-relative:page;" coordorigin="61,1999" coordsize="63,40482"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top:1999;height:33;width:57;"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0" o:title=""/>
              <o:lock v:ext="edit" aspectratio="t"/>
            </v:shape>
            <v:shape id="_x0000_s1065" o:spid="_x0000_s1065" o:spt="202" type="#_x0000_t202" style="position:absolute;left:61;top:2031;height:9;width:63;"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r>
        <w:rPr>
          <w:rFonts w:hint="eastAsia" w:ascii="楷体_GB2312" w:eastAsia="楷体_GB2312" w:cs="DengXian-Bold"/>
          <w:b/>
          <w:bCs/>
          <w:sz w:val="32"/>
          <w:szCs w:val="32"/>
        </w:rPr>
        <w:t>（二）财政拨款收支与年初预算数对比情况</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本部门2018年度一般公共预算财政拨款收入90.86万元，完成年初预算的100%,与年初预算持平；本年支出90.86万元，完成年初预算的100%,完成年初预算的100%,与年初预算持平。</w:t>
      </w:r>
    </w:p>
    <w:p>
      <w:pPr>
        <w:adjustRightInd w:val="0"/>
        <w:snapToGrid w:val="0"/>
        <w:spacing w:after="0" w:line="360" w:lineRule="auto"/>
        <w:ind w:firstLine="420" w:firstLineChars="200"/>
        <w:rPr>
          <w:rFonts w:ascii="仿宋_GB2312" w:eastAsia="仿宋_GB2312" w:cs="DengXian-Regular"/>
          <w:sz w:val="32"/>
          <w:szCs w:val="32"/>
        </w:rPr>
      </w:pPr>
      <w:r>
        <w:drawing>
          <wp:inline distT="0" distB="0" distL="0" distR="0">
            <wp:extent cx="4572000" cy="2743200"/>
            <wp:effectExtent l="0" t="0" r="19050" b="1905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numPr>
          <w:ilvl w:val="0"/>
          <w:numId w:val="2"/>
        </w:numPr>
        <w:adjustRightInd w:val="0"/>
        <w:snapToGrid w:val="0"/>
        <w:spacing w:after="0" w:line="360" w:lineRule="auto"/>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年度财政拨款支出90.86万元，主要用于以下方面一般公共服务（类）支出84.86万元，占94%；</w:t>
      </w:r>
      <w:bookmarkStart w:id="0" w:name="OLE_LINK1"/>
      <w:r>
        <w:rPr>
          <w:rFonts w:hint="eastAsia" w:ascii="仿宋_GB2312" w:eastAsia="仿宋_GB2312" w:cs="DengXian-Regular"/>
          <w:sz w:val="32"/>
          <w:szCs w:val="32"/>
        </w:rPr>
        <w:t>科学技术（类）支出</w:t>
      </w:r>
      <w:bookmarkEnd w:id="0"/>
      <w:r>
        <w:rPr>
          <w:rFonts w:hint="eastAsia" w:ascii="仿宋_GB2312" w:eastAsia="仿宋_GB2312" w:cs="DengXian-Regular"/>
          <w:sz w:val="32"/>
          <w:szCs w:val="32"/>
        </w:rPr>
        <w:t>6万元，占 6%。</w:t>
      </w:r>
    </w:p>
    <w:p>
      <w:pPr>
        <w:adjustRightInd w:val="0"/>
        <w:snapToGrid w:val="0"/>
        <w:spacing w:after="0" w:line="360" w:lineRule="auto"/>
        <w:ind w:firstLine="420" w:firstLineChars="200"/>
        <w:rPr>
          <w:rFonts w:ascii="楷体_GB2312" w:eastAsia="楷体_GB2312" w:cs="DengXian-Bold"/>
          <w:b/>
          <w:bCs/>
          <w:sz w:val="32"/>
          <w:szCs w:val="32"/>
        </w:rPr>
      </w:pPr>
      <w:r>
        <w:drawing>
          <wp:inline distT="0" distB="0" distL="0" distR="0">
            <wp:extent cx="4572000" cy="2743200"/>
            <wp:effectExtent l="0" t="0" r="19050" b="1905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pict>
          <v:group id="_x0000_s1124" o:spid="_x0000_s1124" o:spt="203" style="position:absolute;left:0pt;margin-left:86.35pt;margin-top:15.9pt;height:195.05pt;width:296.35pt;z-index:-251614208;mso-width-relative:page;mso-height-relative:page;" coordorigin="69,1802" coordsize="53,38862"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125" o:spt="75" type="#_x0000_t75" style="position:absolute;left:71;top:1802;height:30;width:4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7" cropleft="2131f" croptop="1490f" cropright="1218f" cropbottom="5217f" o:title=""/>
              <o:lock v:ext="edit" aspectratio="t"/>
            </v:shape>
            <v:shape id="_x0000_s1126" o:spid="_x0000_s1126" o:spt="202" type="#_x0000_t202" style="position:absolute;left:69;top:1831;height:10;width:53;"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360" w:lineRule="auto"/>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69504;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top:526;height:11;width:85;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top:528;height:12;width:8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年度一般公共预算财政拨款基本支出84.86万元，其中：人员经费 70.10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14.76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numPr>
          <w:ilvl w:val="0"/>
          <w:numId w:val="3"/>
        </w:numPr>
        <w:spacing w:before="0" w:after="0" w:line="580" w:lineRule="exact"/>
        <w:ind w:firstLine="640" w:firstLineChars="200"/>
        <w:rPr>
          <w:rFonts w:ascii="黑体" w:eastAsia="黑体"/>
          <w:b w:val="0"/>
          <w:bCs w:val="0"/>
        </w:rPr>
      </w:pPr>
      <w:r>
        <w:rPr>
          <w:rFonts w:hint="eastAsia" w:ascii="黑体" w:eastAsia="黑体"/>
          <w:b w:val="0"/>
          <w:bCs w:val="0"/>
        </w:rPr>
        <w:t>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
          <w:bCs/>
          <w:sz w:val="32"/>
          <w:szCs w:val="32"/>
        </w:rPr>
        <w:t>较年初预算增加0万元，增长0%，</w:t>
      </w:r>
      <w:r>
        <w:rPr>
          <w:rFonts w:hint="eastAsia" w:ascii="仿宋_GB2312" w:eastAsia="仿宋_GB2312" w:cs="DengXian-Regular"/>
          <w:sz w:val="32"/>
          <w:szCs w:val="32"/>
        </w:rPr>
        <w:t>与上年相比无增减变化。具体情况如下：</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w:t>
      </w:r>
      <w:r>
        <w:pict>
          <v:group id="组合 82" o:spid="_x0000_s1131" o:spt="203" style="position:absolute;left:0pt;margin-left:-0.55pt;margin-top:29.3pt;height:43.95pt;width:301.85pt;mso-position-horizontal-relative:page;mso-position-vertical-relative:page;z-index:251704320;mso-width-relative:page;mso-height-relative:page;" coordorigin="4551,52615" coordsize="8546,1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">
            <o:lock v:ext="edit"/>
            <v:rect id="矩形 13" o:spid="_x0000_s1132" o:spt="1" style="position:absolute;left:4551;top:52615;height:1175;width:8546;v-text-anchor:middle;" fillcolor="#D8D8D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8FDcUA&#10;AADbAAAADwAAAGRycy9kb3ducmV2LnhtbESPQWvCQBSE7wX/w/IEb3WjQgjRVaRg8FBom1bE2yP7&#10;TEKzb0N2m6T59d1CocdhZr5hdofRNKKnztWWFayWEQjiwuqaSwUf76fHBITzyBoby6Tgmxwc9rOH&#10;HabaDvxGfe5LESDsUlRQed+mUrqiIoNuaVvi4N1tZ9AH2ZVSdzgEuGnkOopiabDmsFBhS08VFZ/5&#10;l1Fwx+n1WGc03eLrS7Ya8ubynJyUWszH4xaEp9H/h//aZ60g2cDvl/AD5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fwUNxQAAANsAAAAPAAAAAAAAAAAAAAAAAJgCAABkcnMv&#10;ZG93bnJldi54bWxQSwUGAAAAAAQABAD1AAAAigMAAAAA&#10;">
              <v:path/>
              <v:fill on="t" focussize="0,0"/>
              <v:stroke on="f" weight="2pt"/>
              <v:imagedata o:title=""/>
              <o:lock v:ext="edit"/>
            </v:rect>
            <v:rect id="矩形 14" o:spid="_x0000_s1133"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9bsMA&#10;AADbAAAADwAAAGRycy9kb3ducmV2LnhtbESPT4vCMBTE78J+h/AWvGm60l2lGmUVBL2I/0C8PZtn&#10;W2xeShNr99ubBcHjMPObYSaz1pSiodoVlhV89SMQxKnVBWcKjodlbwTCeWSNpWVS8EcOZtOPzgQT&#10;bR+8o2bvMxFK2CWoIPe+SqR0aU4GXd9WxMG72tqgD7LOpK7xEcpNKQdR9CMNFhwWcqxokVN629+N&#10;gtE36VN8mbsm3WaDYczrzX17Vqr72f6OQXhq/Tv8olc6cDH8fwk/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9bsMAAADbAAAADwAAAAAAAAAAAAAAAACYAgAAZHJzL2Rv&#10;d25yZXYueG1sUEsFBgAAAAAEAAQA9QAAAIgDAAAAAA==&#10;">
              <v:path/>
              <v:fill on="t" focussize="0,0"/>
              <v:stroke weight="2pt" color="#845209"/>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本部门2018年度因公出国（境）团组0个、共0人/参加其他单位组织的因公出国（境）团组0个、共0人/无本单位组织的出国（境）团组。因公出国（境）费支出较年初预算增加0万元，增长0%,与上年相比无增减变化。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0</w:t>
      </w:r>
      <w:bookmarkStart w:id="1" w:name="_GoBack"/>
      <w:bookmarkEnd w:id="1"/>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本部门2018年度公务用车购置及运行维护费较年初预算减少0万元，降低0%,与上年相比无增减变化。</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本部门2018年度公务用车购置量0辆，发生“公务用车购置”经费支出0万元。公务用车购置费支出较年初预算增加0万元，增长0%,与上年相比无增减变化。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本部门2018年度单位公务用车保有量0辆。公车运行维护费支出较年初预算增加0万元，增长0%,与上年相比无增减变化。</w:t>
      </w:r>
    </w:p>
    <w:p>
      <w:pPr>
        <w:adjustRightInd w:val="0"/>
        <w:snapToGrid w:val="0"/>
        <w:spacing w:after="0" w:line="580" w:lineRule="exact"/>
        <w:ind w:firstLine="643" w:firstLineChars="200"/>
      </w:pPr>
      <w:r>
        <w:rPr>
          <w:rFonts w:hint="eastAsia" w:ascii="楷体_GB2312" w:eastAsia="楷体_GB2312" w:cs="DengXian-Bold"/>
          <w:b/>
          <w:bCs/>
          <w:sz w:val="32"/>
          <w:szCs w:val="32"/>
        </w:rPr>
        <w:t>（三）公务接待费支出0万元。</w:t>
      </w:r>
      <w:r>
        <w:pict>
          <v:group id="组合 85" o:spid="_x0000_s1128" o:spt="203" style="position:absolute;left:0pt;margin-left:-0.55pt;margin-top:29.3pt;height:43.95pt;width:301.85pt;mso-position-horizontal-relative:page;mso-position-vertical-relative:page;z-index:251705344;mso-width-relative:page;mso-height-relative:page;" coordorigin="4551,52615" coordsize="8546,1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">
            <o:lock v:ext="edit"/>
            <v:rect id="矩形 13" o:spid="_x0000_s1129" o:spt="1" style="position:absolute;left:4551;top:52615;height:1175;width:8546;v-text-anchor:middle;" fillcolor="#D8D8D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imlcUA&#10;AADbAAAADwAAAGRycy9kb3ducmV2LnhtbESPQWuDQBSE74H+h+UVektWexCx2YQQUHootLEpIbeH&#10;+6IS9624W7X59dlCocdhZr5h1tvZdGKkwbWWFcSrCARxZXXLtYLjZ75MQTiPrLGzTAp+yMF287BY&#10;Y6btxAcaS1+LAGGXoYLG+z6T0lUNGXQr2xMH72IHgz7IoZZ6wCnATSefoyiRBlsOCw32tG+oupbf&#10;RsEFbx+7tqDbOTm9F/FUdl9vaa7U0+O8ewHhafb/4b/2q1aQJvD7JfwAu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CKaVxQAAANsAAAAPAAAAAAAAAAAAAAAAAJgCAABkcnMv&#10;ZG93bnJldi54bWxQSwUGAAAAAAQABAD1AAAAigMAAAAA&#10;">
              <v:path/>
              <v:fill on="t" focussize="0,0"/>
              <v:stroke on="f" weight="2pt"/>
              <v:imagedata o:title=""/>
              <o:lock v:ext="edit"/>
            </v:rect>
            <v:rect id="矩形 14" o:spid="_x0000_s1130"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cjGcQA&#10;AADbAAAADwAAAGRycy9kb3ducmV2LnhtbESPQWvCQBSE7wX/w/KE3uqmkqpEV2kLhfYiNi0Ub8/s&#10;MwnNvg27mxj/vSsIHoeZb4ZZbQbTiJ6cry0reJ4kIIgLq2suFfz+fDwtQPiArLGxTArO5GGzHj2s&#10;MNP2xN/U56EUsYR9hgqqENpMSl9UZNBPbEscvaN1BkOUrpTa4SmWm0ZOk2QmDdYcFyps6b2i4j/v&#10;jILFC+m/9PDm+2JXTucpf2273V6px/HwugQRaAj38I3+1JGbw/VL/AFyf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3IxnEAAAA2wAAAA8AAAAAAAAAAAAAAAAAmAIAAGRycy9k&#10;b3ducmV2LnhtbFBLBQYAAAAABAAEAPUAAACJAwAAAAA=&#10;">
              <v:path/>
              <v:fill on="t" focussize="0,0"/>
              <v:stroke weight="2pt" color="#845209"/>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本部门2018年度公务接待共0批次、0人次。公务接待费支出较年初预算增加0万元，增长0%,与上年相比无增减变化。</w:t>
      </w:r>
    </w:p>
    <w:p>
      <w:pPr>
        <w:pStyle w:val="3"/>
        <w:spacing w:before="0" w:after="0" w:line="500" w:lineRule="exact"/>
        <w:ind w:firstLine="643" w:firstLineChars="200"/>
        <w:rPr>
          <w:rFonts w:ascii="仿宋_GB2312" w:hAnsi="Times New Roman" w:eastAsia="仿宋_GB2312" w:cs="DengXian-Regular"/>
          <w:bCs w:val="0"/>
        </w:rPr>
      </w:pPr>
      <w:r>
        <w:rPr>
          <w:rFonts w:hint="eastAsia" w:ascii="仿宋_GB2312" w:hAnsi="Times New Roman" w:eastAsia="仿宋_GB2312" w:cs="DengXian-Regular"/>
          <w:bCs w:val="0"/>
        </w:rPr>
        <w:t>六、绩效预算情况说明</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numPr>
          <w:ilvl w:val="0"/>
          <w:numId w:val="4"/>
        </w:num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根据预算绩效管理要求，本单位组织对2018年度一般公共预算项目支出全面开展绩效自评，涉及科普经费1个项目，涉及资金6万元。从评价情况看，评价结果为优秀。</w:t>
      </w:r>
    </w:p>
    <w:p>
      <w:pPr>
        <w:numPr>
          <w:ilvl w:val="0"/>
          <w:numId w:val="4"/>
        </w:num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adjustRightInd w:val="0"/>
        <w:snapToGrid w:val="0"/>
        <w:spacing w:after="0" w:line="500" w:lineRule="exact"/>
        <w:ind w:firstLine="640" w:firstLineChars="200"/>
        <w:rPr>
          <w:rFonts w:ascii="仿宋_GB2312" w:eastAsia="仿宋_GB2312" w:cs="DengXian-Regular"/>
          <w:sz w:val="32"/>
          <w:szCs w:val="32"/>
        </w:rPr>
      </w:pP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本部门2018年度机关运行经费支出0万元，与年初预算数持平，与上年相比无增减变化。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hint="eastAsia" w:ascii="仿宋_GB2312" w:hAnsi="仿宋_GB2312" w:eastAsia="仿宋_GB2312" w:cs="仿宋_GB2312"/>
          <w:color w:val="000000"/>
          <w:kern w:val="0"/>
          <w:sz w:val="32"/>
          <w:szCs w:val="32"/>
          <w:lang w:bidi="ar"/>
        </w:rPr>
      </w:pPr>
      <w:r>
        <w:rPr>
          <w:rFonts w:hint="eastAsia" w:ascii="仿宋_GB2312" w:eastAsia="仿宋_GB2312" w:cs="DengXian-Regular"/>
          <w:sz w:val="32"/>
          <w:szCs w:val="32"/>
        </w:rPr>
        <w:t>本部门2018年度政府采购支出总额0万元</w:t>
      </w:r>
      <w:r>
        <w:rPr>
          <w:rFonts w:ascii="仿宋_GB2312" w:hAnsi="仿宋_GB2312" w:eastAsia="仿宋_GB2312" w:cs="仿宋_GB2312"/>
          <w:color w:val="000000"/>
          <w:kern w:val="0"/>
          <w:sz w:val="32"/>
          <w:szCs w:val="32"/>
        </w:rPr>
        <w:t>。</w:t>
      </w: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bidi="ar"/>
        </w:rPr>
        <w:t>xx</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w:t>
      </w:r>
    </w:p>
    <w:p>
      <w:pPr>
        <w:widowControl/>
        <w:spacing w:after="0" w:line="580" w:lineRule="exact"/>
        <w:ind w:firstLine="420" w:firstLineChars="200"/>
        <w:jc w:val="left"/>
        <w:rPr>
          <w:rFonts w:hint="eastAsia" w:ascii="楷体_GB2312" w:eastAsia="楷体_GB2312" w:cs="DengXian-Bold"/>
          <w:b/>
          <w:bCs/>
          <w:sz w:val="32"/>
          <w:szCs w:val="32"/>
        </w:rPr>
      </w:pPr>
      <w:r>
        <w:rPr>
          <w:rFonts w:hint="eastAsia" w:ascii="楷体_GB2312" w:eastAsia="楷体_GB2312" w:cs="DengXian-Bold"/>
        </w:rPr>
        <w:t>（</w:t>
      </w:r>
      <w:r>
        <w:rPr>
          <w:rFonts w:hint="eastAsia" w:ascii="楷体_GB2312" w:eastAsia="楷体_GB2312" w:cs="DengXian-Bold"/>
          <w:b/>
          <w:bCs/>
          <w:sz w:val="32"/>
          <w:szCs w:val="32"/>
        </w:rPr>
        <w:t>三）国有资产占用情况</w:t>
      </w:r>
    </w:p>
    <w:p>
      <w:pPr>
        <w:widowControl/>
        <w:spacing w:after="0" w:line="580" w:lineRule="exact"/>
        <w:ind w:firstLine="640" w:firstLineChars="200"/>
        <w:jc w:val="left"/>
        <w:rPr>
          <w:rFonts w:hint="eastAsia" w:ascii="仿宋_GB2312" w:eastAsia="仿宋_GB2312" w:cs="DengXian-Regular"/>
          <w:sz w:val="32"/>
          <w:szCs w:val="32"/>
        </w:rPr>
      </w:pPr>
      <w:r>
        <w:rPr>
          <w:rFonts w:hint="eastAsia" w:ascii="仿宋_GB2312" w:eastAsia="仿宋_GB2312" w:cs="DengXian-Regular"/>
          <w:sz w:val="32"/>
          <w:szCs w:val="32"/>
        </w:rPr>
        <w:t>截至2018年12月31日，本部门共有车辆0辆，比上年增加0辆，与上年相比无增减变化。其中，副部（省）级及以上领导用车0辆，主要领导干部用车0辆，机要通信用车0辆，应急保障用车0辆，执法执勤用车0辆，特种专业技术用车0辆，离退休干部用车0辆，其他用车0辆；单位价值50万元以上通用设备0台（套），比上年增加0套，与上年相比无增减变化 ，单位价值100万元以上专用设备0台（套）比上年增加0套, 与上年相比无增减变化。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1、本部门2018年度无收支及结转结余情况，故“三公”经费支出决算表、政府性基金预算财政拨款收入支出决算表、国有资本经营预算财政拨款支出决算表、政府采购情况表以空表列示。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pict>
          <v:group id="组合 91" o:spid="_x0000_s1134" o:spt="203" style="position:absolute;left:0pt;margin-left:-0.55pt;margin-top:29.3pt;height:43.95pt;width:301.85pt;mso-position-horizontal-relative:page;mso-position-vertical-relative:page;z-index:251707392;mso-width-relative:page;mso-height-relative:page;" coordorigin="4551,52615" coordsize="8546,1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">
            <o:lock v:ext="edit"/>
            <v:rect id="矩形 13" o:spid="_x0000_s1135" o:spt="1" style="position:absolute;left:4551;top:52615;height:1175;width:8546;v-text-anchor:middle;" fillcolor="#D8D8D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o2S8MA&#10;AADbAAAADwAAAGRycy9kb3ducmV2LnhtbESPQYvCMBSE7wv7H8ITvGmqB9FqFBGUPQhq3UW8PZpn&#10;W2xeShNt9dcbQdjjMDPfMLNFa0pxp9oVlhUM+hEI4tTqgjMFv8d1bwzCeWSNpWVS8CAHi/n31wxj&#10;bRs+0D3xmQgQdjEqyL2vYildmpNB17cVcfAutjbog6wzqWtsAtyUchhFI2mw4LCQY0WrnNJrcjMK&#10;LvjcL4sNPc+j024zaJLybzteK9XttMspCE+t/w9/2j9awWQI7y/hB8j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o2S8MAAADbAAAADwAAAAAAAAAAAAAAAACYAgAAZHJzL2Rv&#10;d25yZXYueG1sUEsFBgAAAAAEAAQA9QAAAIgDAAAAAA==&#10;">
              <v:path/>
              <v:fill on="t" focussize="0,0"/>
              <v:stroke on="f" weight="2pt"/>
              <v:imagedata o:title=""/>
              <o:lock v:ext="edit"/>
            </v:rect>
            <v:rect id="矩形 14" o:spid="_x0000_s113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Wzx8UA&#10;AADbAAAADwAAAGRycy9kb3ducmV2LnhtbESPQWvCQBSE74L/YXlCb2ZTtVbTbKQWCvVS1Ari7TX7&#10;moRm34bsGuO/d4VCj8PMfMOkq97UoqPWVZYVPEYxCOLc6ooLBYev9/EChPPIGmvLpOBKDlbZcJBi&#10;ou2Fd9TtfSEChF2CCkrvm0RKl5dk0EW2IQ7ej20N+iDbQuoWLwFuajmJ47k0WHFYKLGht5Ly3/3Z&#10;KFg8kT7Ovteuy7fF5HnGm8/z9qTUw6h/fQHhqff/4b/2h1awnML9S/gBMr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1bPHxQAAANsAAAAPAAAAAAAAAAAAAAAAAJgCAABkcnMv&#10;ZG93bnJldi54bWxQSwUGAAAAAAQABAD1AAAAigMAAAAA&#10;">
              <v:path/>
              <v:fill on="t" focussize="0,0"/>
              <v:stroke weight="2pt" color="#845209"/>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53120;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top:526;height:11;width:85;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top:528;height:12;width:8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74624;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top:526;height:11;width:85;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top:528;height:12;width:8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75648;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top:526;height:11;width:85;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top:528;height:12;width:8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0E150C6-81C2-4A55-8004-F1926C4BBA9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BED53250-68D5-4971-857B-B143E80CC788}"/>
  </w:font>
  <w:font w:name="楷体">
    <w:panose1 w:val="02010609060101010101"/>
    <w:charset w:val="86"/>
    <w:family w:val="modern"/>
    <w:pitch w:val="default"/>
    <w:sig w:usb0="800002BF" w:usb1="38CF7CFA" w:usb2="00000016" w:usb3="00000000" w:csb0="00040001" w:csb1="00000000"/>
    <w:embedRegular r:id="rId3" w:fontKey="{C140219F-65B7-4A25-BF61-902A5B5B8A9E}"/>
  </w:font>
  <w:font w:name="楷体_GB2312">
    <w:panose1 w:val="02010609030101010101"/>
    <w:charset w:val="86"/>
    <w:family w:val="modern"/>
    <w:pitch w:val="default"/>
    <w:sig w:usb0="00000000" w:usb1="00000000" w:usb2="00000000" w:usb3="00000000" w:csb0="00000000" w:csb1="00000000"/>
    <w:embedRegular r:id="rId4" w:fontKey="{B5B87756-FB7A-4BC5-A13E-646A27F663BC}"/>
  </w:font>
  <w:font w:name="仿宋_GB2312">
    <w:panose1 w:val="02010609030101010101"/>
    <w:charset w:val="86"/>
    <w:family w:val="modern"/>
    <w:pitch w:val="default"/>
    <w:sig w:usb0="00000000" w:usb1="00000000" w:usb2="00000000" w:usb3="00000000" w:csb0="00000000" w:csb1="00000000"/>
    <w:embedRegular r:id="rId5" w:fontKey="{885F11C9-70E8-408B-B41B-5FF23AAA6B63}"/>
  </w:font>
  <w:font w:name="ArialUnicodeMS">
    <w:altName w:val="Malgun Gothic"/>
    <w:panose1 w:val="00000000000000000000"/>
    <w:charset w:val="81"/>
    <w:family w:val="auto"/>
    <w:pitch w:val="default"/>
    <w:sig w:usb0="00000000" w:usb1="00000000" w:usb2="00000010" w:usb3="00000000" w:csb0="00080001" w:csb1="00000000"/>
    <w:embedRegular r:id="rId6" w:fontKey="{FF4788F6-1790-4CFC-9756-513A98DB3422}"/>
  </w:font>
  <w:font w:name="MS-UIGothic,Bold">
    <w:altName w:val="Malgun Gothic"/>
    <w:panose1 w:val="00000000000000000000"/>
    <w:charset w:val="81"/>
    <w:family w:val="auto"/>
    <w:pitch w:val="default"/>
    <w:sig w:usb0="00000000" w:usb1="00000000" w:usb2="00000010" w:usb3="00000000" w:csb0="00080000" w:csb1="00000000"/>
    <w:embedRegular r:id="rId7" w:fontKey="{2CE569A5-AA9C-4EF3-9B2B-AA3DDA0AD3AD}"/>
  </w:font>
  <w:font w:name="DengXian-Regular">
    <w:altName w:val="宋体"/>
    <w:panose1 w:val="00000000000000000000"/>
    <w:charset w:val="86"/>
    <w:family w:val="auto"/>
    <w:pitch w:val="default"/>
    <w:sig w:usb0="00000000" w:usb1="00000000" w:usb2="00000010" w:usb3="00000000" w:csb0="00040001" w:csb1="00000000"/>
    <w:embedRegular r:id="rId8" w:fontKey="{AE8D0A66-8626-42DB-B83A-F1833E177A72}"/>
  </w:font>
  <w:font w:name="DengXian-Bold">
    <w:altName w:val="宋体"/>
    <w:panose1 w:val="00000000000000000000"/>
    <w:charset w:val="86"/>
    <w:family w:val="auto"/>
    <w:pitch w:val="default"/>
    <w:sig w:usb0="00000000" w:usb1="00000000" w:usb2="00000010" w:usb3="00000000" w:csb0="00040001" w:csb1="00000000"/>
    <w:embedRegular r:id="rId9" w:fontKey="{82DB8B9D-5B50-4C50-AB98-7303AF4084EC}"/>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8BB6E6F"/>
    <w:multiLevelType w:val="singleLevel"/>
    <w:tmpl w:val="C8BB6E6F"/>
    <w:lvl w:ilvl="0" w:tentative="0">
      <w:start w:val="5"/>
      <w:numFmt w:val="chineseCounting"/>
      <w:suff w:val="nothing"/>
      <w:lvlText w:val="%1、"/>
      <w:lvlJc w:val="left"/>
      <w:rPr>
        <w:rFonts w:hint="eastAsia"/>
      </w:rPr>
    </w:lvl>
  </w:abstractNum>
  <w:abstractNum w:abstractNumId="1">
    <w:nsid w:val="00000007"/>
    <w:multiLevelType w:val="singleLevel"/>
    <w:tmpl w:val="00000007"/>
    <w:lvl w:ilvl="0" w:tentative="0">
      <w:start w:val="1"/>
      <w:numFmt w:val="decimal"/>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7DEE2992"/>
    <w:multiLevelType w:val="singleLevel"/>
    <w:tmpl w:val="7DEE2992"/>
    <w:lvl w:ilvl="0" w:tentative="0">
      <w:start w:val="2"/>
      <w:numFmt w:val="chineseCounting"/>
      <w:suff w:val="nothing"/>
      <w:lvlText w:val="（%1）"/>
      <w:lvlJc w:val="left"/>
      <w:rPr>
        <w:rFonts w:hint="eastAsia"/>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0E719C"/>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C6779"/>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828E0"/>
    <w:rsid w:val="007905A9"/>
    <w:rsid w:val="007D781D"/>
    <w:rsid w:val="007E5500"/>
    <w:rsid w:val="007F055B"/>
    <w:rsid w:val="00802D31"/>
    <w:rsid w:val="0080644C"/>
    <w:rsid w:val="00811C2F"/>
    <w:rsid w:val="00833D46"/>
    <w:rsid w:val="00840A97"/>
    <w:rsid w:val="008C0149"/>
    <w:rsid w:val="008C6F83"/>
    <w:rsid w:val="008D5DED"/>
    <w:rsid w:val="008E25CA"/>
    <w:rsid w:val="008F34FC"/>
    <w:rsid w:val="00905622"/>
    <w:rsid w:val="009071F8"/>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3574D"/>
    <w:rsid w:val="00D61063"/>
    <w:rsid w:val="00DB35AF"/>
    <w:rsid w:val="00DD72D7"/>
    <w:rsid w:val="00DF5B88"/>
    <w:rsid w:val="00E0589E"/>
    <w:rsid w:val="00E2115D"/>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2868"/>
    <w:rsid w:val="00FB4EDA"/>
    <w:rsid w:val="00FD3BD5"/>
    <w:rsid w:val="00FE3DC8"/>
    <w:rsid w:val="04073F84"/>
    <w:rsid w:val="0B60750A"/>
    <w:rsid w:val="0DAB0CB3"/>
    <w:rsid w:val="10686488"/>
    <w:rsid w:val="10DF728A"/>
    <w:rsid w:val="1264200E"/>
    <w:rsid w:val="13FC4F20"/>
    <w:rsid w:val="141C5B77"/>
    <w:rsid w:val="16174664"/>
    <w:rsid w:val="18D8339D"/>
    <w:rsid w:val="1A21388F"/>
    <w:rsid w:val="1A570D2F"/>
    <w:rsid w:val="273B5EF7"/>
    <w:rsid w:val="28FB0B8D"/>
    <w:rsid w:val="2A9870FC"/>
    <w:rsid w:val="2BA3776B"/>
    <w:rsid w:val="2BBE2646"/>
    <w:rsid w:val="2D2B7942"/>
    <w:rsid w:val="2D46481D"/>
    <w:rsid w:val="2D482E0E"/>
    <w:rsid w:val="2E733B28"/>
    <w:rsid w:val="31852B5A"/>
    <w:rsid w:val="32D01238"/>
    <w:rsid w:val="3DFC59A8"/>
    <w:rsid w:val="3ECF245E"/>
    <w:rsid w:val="3FB96314"/>
    <w:rsid w:val="461A26E0"/>
    <w:rsid w:val="53A44FAF"/>
    <w:rsid w:val="594329EC"/>
    <w:rsid w:val="5BEE1540"/>
    <w:rsid w:val="5DE61A5D"/>
    <w:rsid w:val="5F085F55"/>
    <w:rsid w:val="63C04243"/>
    <w:rsid w:val="649C01C7"/>
    <w:rsid w:val="66402D69"/>
    <w:rsid w:val="688E0205"/>
    <w:rsid w:val="699A3F60"/>
    <w:rsid w:val="72902E62"/>
    <w:rsid w:val="73C61104"/>
    <w:rsid w:val="776452EA"/>
    <w:rsid w:val="7DC663B9"/>
    <w:rsid w:val="7EB951CE"/>
    <w:rsid w:val="7F0C7DA3"/>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image" Target="media/image3.png"/><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5.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image" Target="media/image4.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收入</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财政拨款</c:v>
                </c:pt>
              </c:strCache>
            </c:strRef>
          </c:cat>
          <c:val>
            <c:numRef>
              <c:f>Sheet1!$B$2</c:f>
              <c:numCache>
                <c:formatCode>General</c:formatCode>
                <c:ptCount val="1"/>
                <c:pt idx="0">
                  <c:v>8.2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186375"/>
          <c:y val="0.1245"/>
          <c:w val="0.62725"/>
          <c:h val="0.836333333333333"/>
        </c:manualLayout>
      </c:layout>
      <c:pieChart>
        <c:varyColors val="1"/>
        <c:ser>
          <c:idx val="0"/>
          <c:order val="0"/>
          <c:tx>
            <c:strRef>
              <c:f>Sheet1!$B$1</c:f>
              <c:strCache>
                <c:ptCount val="1"/>
                <c:pt idx="0">
                  <c:v>支出</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基本支出</a:t>
                    </a:r>
                    <a:endParaRPr lang="zh-CN" altLang="en-US"/>
                  </a:p>
                  <a:p>
                    <a:pPr>
                      <a:defRPr lang="zh-CN" sz="900" b="0" i="0" u="none" strike="noStrike" kern="1200" baseline="0">
                        <a:solidFill>
                          <a:schemeClr val="tx1">
                            <a:lumMod val="75000"/>
                            <a:lumOff val="25000"/>
                          </a:schemeClr>
                        </a:solidFill>
                        <a:latin typeface="+mn-lt"/>
                        <a:ea typeface="+mn-ea"/>
                        <a:cs typeface="+mn-cs"/>
                      </a:defRPr>
                    </a:pPr>
                    <a:r>
                      <a:rPr lang="en-US" altLang="zh-CN"/>
                      <a:t>94%</a:t>
                    </a:r>
                    <a:endParaRPr lang="en-US" altLang="zh-CN"/>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项目支出</a:t>
                    </a:r>
                    <a:endParaRPr lang="zh-CN" altLang="en-US"/>
                  </a:p>
                  <a:p>
                    <a:pPr>
                      <a:defRPr lang="zh-CN" sz="900" b="0" i="0" u="none" strike="noStrike" kern="1200" baseline="0">
                        <a:solidFill>
                          <a:schemeClr val="tx1">
                            <a:lumMod val="75000"/>
                            <a:lumOff val="25000"/>
                          </a:schemeClr>
                        </a:solidFill>
                        <a:latin typeface="+mn-lt"/>
                        <a:ea typeface="+mn-ea"/>
                        <a:cs typeface="+mn-cs"/>
                      </a:defRPr>
                    </a:pPr>
                    <a:r>
                      <a:rPr lang="en-US" altLang="zh-CN"/>
                      <a:t>6%</a:t>
                    </a:r>
                    <a:endParaRPr lang="en-US" altLang="zh-CN"/>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116.83</c:v>
                </c:pt>
                <c:pt idx="1">
                  <c:v>14.67</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Sheet1!$I$6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Sheet1!$J$5:$K$5</c:f>
              <c:strCache>
                <c:ptCount val="2"/>
                <c:pt idx="0">
                  <c:v>收入</c:v>
                </c:pt>
                <c:pt idx="1">
                  <c:v>支出</c:v>
                </c:pt>
              </c:strCache>
            </c:strRef>
          </c:cat>
          <c:val>
            <c:numRef>
              <c:f>Sheet1!$J$6:$K$6</c:f>
              <c:numCache>
                <c:formatCode>General</c:formatCode>
                <c:ptCount val="2"/>
                <c:pt idx="0">
                  <c:v>95.61</c:v>
                </c:pt>
                <c:pt idx="1">
                  <c:v>95.61</c:v>
                </c:pt>
              </c:numCache>
            </c:numRef>
          </c:val>
        </c:ser>
        <c:ser>
          <c:idx val="1"/>
          <c:order val="1"/>
          <c:tx>
            <c:strRef>
              <c:f>Sheet1!$I$7</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Sheet1!$J$5:$K$5</c:f>
              <c:strCache>
                <c:ptCount val="2"/>
                <c:pt idx="0">
                  <c:v>收入</c:v>
                </c:pt>
                <c:pt idx="1">
                  <c:v>支出</c:v>
                </c:pt>
              </c:strCache>
            </c:strRef>
          </c:cat>
          <c:val>
            <c:numRef>
              <c:f>Sheet1!$J$7:$K$7</c:f>
              <c:numCache>
                <c:formatCode>General</c:formatCode>
                <c:ptCount val="2"/>
                <c:pt idx="0">
                  <c:v>90.86</c:v>
                </c:pt>
                <c:pt idx="1">
                  <c:v>90.86</c:v>
                </c:pt>
              </c:numCache>
            </c:numRef>
          </c:val>
        </c:ser>
        <c:dLbls>
          <c:showLegendKey val="0"/>
          <c:showVal val="0"/>
          <c:showCatName val="0"/>
          <c:showSerName val="0"/>
          <c:showPercent val="0"/>
          <c:showBubbleSize val="0"/>
        </c:dLbls>
        <c:gapWidth val="150"/>
        <c:axId val="67844352"/>
        <c:axId val="70582656"/>
      </c:barChart>
      <c:catAx>
        <c:axId val="67844352"/>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70582656"/>
        <c:crosses val="autoZero"/>
        <c:auto val="1"/>
        <c:lblAlgn val="ctr"/>
        <c:lblOffset val="100"/>
        <c:noMultiLvlLbl val="0"/>
      </c:catAx>
      <c:valAx>
        <c:axId val="70582656"/>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67844352"/>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Sheet1!$P$7</c:f>
              <c:strCache>
                <c:ptCount val="1"/>
                <c:pt idx="0">
                  <c:v>预算数</c:v>
                </c:pt>
              </c:strCache>
            </c:strRef>
          </c:tx>
          <c:invertIfNegative val="0"/>
          <c:dLbls>
            <c:delete val="1"/>
          </c:dLbls>
          <c:cat>
            <c:strRef>
              <c:f>Sheet1!$Q$6:$R$6</c:f>
              <c:strCache>
                <c:ptCount val="2"/>
                <c:pt idx="0">
                  <c:v>收入</c:v>
                </c:pt>
                <c:pt idx="1">
                  <c:v>支出</c:v>
                </c:pt>
              </c:strCache>
            </c:strRef>
          </c:cat>
          <c:val>
            <c:numRef>
              <c:f>Sheet1!$Q$7:$R$7</c:f>
              <c:numCache>
                <c:formatCode>General</c:formatCode>
                <c:ptCount val="2"/>
                <c:pt idx="0">
                  <c:v>90.86</c:v>
                </c:pt>
                <c:pt idx="1">
                  <c:v>90.86</c:v>
                </c:pt>
              </c:numCache>
            </c:numRef>
          </c:val>
        </c:ser>
        <c:ser>
          <c:idx val="1"/>
          <c:order val="1"/>
          <c:tx>
            <c:strRef>
              <c:f>Sheet1!$P$8</c:f>
              <c:strCache>
                <c:ptCount val="1"/>
                <c:pt idx="0">
                  <c:v>决算数</c:v>
                </c:pt>
              </c:strCache>
            </c:strRef>
          </c:tx>
          <c:invertIfNegative val="0"/>
          <c:dLbls>
            <c:delete val="1"/>
          </c:dLbls>
          <c:cat>
            <c:strRef>
              <c:f>Sheet1!$Q$6:$R$6</c:f>
              <c:strCache>
                <c:ptCount val="2"/>
                <c:pt idx="0">
                  <c:v>收入</c:v>
                </c:pt>
                <c:pt idx="1">
                  <c:v>支出</c:v>
                </c:pt>
              </c:strCache>
            </c:strRef>
          </c:cat>
          <c:val>
            <c:numRef>
              <c:f>Sheet1!$Q$8:$R$8</c:f>
              <c:numCache>
                <c:formatCode>General</c:formatCode>
                <c:ptCount val="2"/>
                <c:pt idx="0">
                  <c:v>90.86</c:v>
                </c:pt>
                <c:pt idx="1">
                  <c:v>90.86</c:v>
                </c:pt>
              </c:numCache>
            </c:numRef>
          </c:val>
        </c:ser>
        <c:dLbls>
          <c:showLegendKey val="0"/>
          <c:showVal val="0"/>
          <c:showCatName val="0"/>
          <c:showSerName val="0"/>
          <c:showPercent val="0"/>
          <c:showBubbleSize val="0"/>
        </c:dLbls>
        <c:gapWidth val="150"/>
        <c:axId val="137411200"/>
        <c:axId val="139254400"/>
      </c:barChart>
      <c:catAx>
        <c:axId val="137411200"/>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9254400"/>
        <c:crosses val="autoZero"/>
        <c:auto val="1"/>
        <c:lblAlgn val="ctr"/>
        <c:lblOffset val="100"/>
        <c:noMultiLvlLbl val="0"/>
      </c:catAx>
      <c:valAx>
        <c:axId val="139254400"/>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7411200"/>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Sheet1!$V$15</c:f>
              <c:strCache>
                <c:ptCount val="1"/>
                <c:pt idx="0">
                  <c:v>财政拨款支出</c:v>
                </c:pt>
              </c:strCache>
            </c:strRef>
          </c:tx>
          <c:explosion val="0"/>
          <c:dPt>
            <c:idx val="0"/>
            <c:bubble3D val="0"/>
          </c:dPt>
          <c:dPt>
            <c:idx val="1"/>
            <c:bubble3D val="0"/>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Sheet1!$R$16:$U$17</c:f>
              <c:strCache>
                <c:ptCount val="2"/>
                <c:pt idx="0">
                  <c:v>一般公共服务（类）支出</c:v>
                </c:pt>
                <c:pt idx="1">
                  <c:v>科学技术（类）支出</c:v>
                </c:pt>
              </c:strCache>
            </c:strRef>
          </c:cat>
          <c:val>
            <c:numRef>
              <c:f>Sheet1!$V$16:$V$17</c:f>
              <c:numCache>
                <c:formatCode>General</c:formatCode>
                <c:ptCount val="2"/>
                <c:pt idx="0">
                  <c:v>84.86</c:v>
                </c:pt>
                <c:pt idx="1">
                  <c:v>6</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6"/>
    <customShpInfo spid="_x0000_s1065"/>
    <customShpInfo spid="_x0000_s1064"/>
    <customShpInfo spid="_x0000_s1125"/>
    <customShpInfo spid="_x0000_s1126"/>
    <customShpInfo spid="_x0000_s1124"/>
    <customShpInfo spid="_x0000_s1054"/>
    <customShpInfo spid="_x0000_s1053"/>
    <customShpInfo spid="_x0000_s1052"/>
    <customShpInfo spid="_x0000_s1132"/>
    <customShpInfo spid="_x0000_s1133"/>
    <customShpInfo spid="_x0000_s1131"/>
    <customShpInfo spid="_x0000_s1129"/>
    <customShpInfo spid="_x0000_s1130"/>
    <customShpInfo spid="_x0000_s1128"/>
    <customShpInfo spid="_x0000_s1135"/>
    <customShpInfo spid="_x0000_s1136"/>
    <customShpInfo spid="_x0000_s1134"/>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697A9A0-EE34-4BBE-93E4-0BD5FCA565FB}">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21</Pages>
  <Words>638</Words>
  <Characters>3641</Characters>
  <Lines>30</Lines>
  <Paragraphs>8</Paragraphs>
  <TotalTime>43</TotalTime>
  <ScaleCrop>false</ScaleCrop>
  <LinksUpToDate>false</LinksUpToDate>
  <CharactersWithSpaces>4271</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2021-05-18T08:00:36Z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