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2A37E0">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486737C0">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14:paraId="60AB5FB9">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石家庄市藁城区人民法院2018年度部门决算</w:t>
                  </w:r>
                </w:p>
                <w:p w14:paraId="5E89785F">
                  <w:pPr>
                    <w:rPr>
                      <w:color w:val="FDEFBE"/>
                      <w:sz w:val="96"/>
                      <w:szCs w:val="96"/>
                    </w:rPr>
                  </w:pPr>
                </w:p>
              </w:txbxContent>
            </v:textbox>
          </v:shape>
        </w:pict>
      </w:r>
    </w:p>
    <w:p w14:paraId="6F3E95A6">
      <w:pPr>
        <w:widowControl/>
        <w:jc w:val="center"/>
        <w:rPr>
          <w:rFonts w:asciiTheme="minorEastAsia" w:hAnsiTheme="minorEastAsia" w:eastAsiaTheme="minorEastAsia"/>
          <w:b/>
          <w:sz w:val="72"/>
          <w:szCs w:val="72"/>
        </w:rPr>
      </w:pPr>
    </w:p>
    <w:p w14:paraId="2619129E">
      <w:pPr>
        <w:widowControl/>
        <w:jc w:val="center"/>
        <w:rPr>
          <w:rFonts w:asciiTheme="minorEastAsia" w:hAnsiTheme="minorEastAsia" w:eastAsiaTheme="minorEastAsia"/>
          <w:b/>
          <w:sz w:val="72"/>
          <w:szCs w:val="72"/>
        </w:rPr>
      </w:pPr>
    </w:p>
    <w:p w14:paraId="721366F3">
      <w:pPr>
        <w:widowControl/>
        <w:jc w:val="center"/>
        <w:rPr>
          <w:rFonts w:asciiTheme="minorEastAsia" w:hAnsiTheme="minorEastAsia" w:eastAsiaTheme="minorEastAsia"/>
          <w:b/>
          <w:sz w:val="72"/>
          <w:szCs w:val="72"/>
        </w:rPr>
      </w:pPr>
    </w:p>
    <w:p w14:paraId="7FE13AB5">
      <w:pPr>
        <w:widowControl/>
        <w:jc w:val="center"/>
        <w:rPr>
          <w:rFonts w:asciiTheme="minorEastAsia" w:hAnsiTheme="minorEastAsia" w:eastAsiaTheme="minorEastAsia"/>
          <w:b/>
          <w:sz w:val="72"/>
          <w:szCs w:val="72"/>
        </w:rPr>
      </w:pPr>
    </w:p>
    <w:p w14:paraId="4CA5D000">
      <w:pPr>
        <w:widowControl/>
        <w:jc w:val="center"/>
        <w:rPr>
          <w:rFonts w:asciiTheme="minorEastAsia" w:hAnsiTheme="minorEastAsia" w:eastAsiaTheme="minorEastAsia"/>
          <w:b/>
          <w:sz w:val="72"/>
          <w:szCs w:val="72"/>
        </w:rPr>
      </w:pPr>
    </w:p>
    <w:p w14:paraId="29F0E62E">
      <w:pPr>
        <w:widowControl/>
        <w:jc w:val="center"/>
        <w:rPr>
          <w:rFonts w:asciiTheme="minorEastAsia" w:hAnsiTheme="minorEastAsia" w:eastAsiaTheme="minorEastAsia"/>
          <w:b/>
          <w:sz w:val="72"/>
          <w:szCs w:val="72"/>
        </w:rPr>
      </w:pPr>
    </w:p>
    <w:p w14:paraId="098ED6FB">
      <w:pPr>
        <w:widowControl/>
        <w:jc w:val="center"/>
        <w:rPr>
          <w:rFonts w:asciiTheme="minorEastAsia" w:hAnsiTheme="minorEastAsia" w:eastAsiaTheme="minorEastAsia"/>
          <w:b/>
          <w:sz w:val="72"/>
          <w:szCs w:val="72"/>
        </w:rPr>
      </w:pPr>
    </w:p>
    <w:p w14:paraId="0AAA04D3">
      <w:pPr>
        <w:widowControl/>
        <w:jc w:val="center"/>
        <w:rPr>
          <w:rFonts w:asciiTheme="minorEastAsia" w:hAnsiTheme="minorEastAsia" w:eastAsiaTheme="minorEastAsia"/>
          <w:b/>
          <w:sz w:val="72"/>
          <w:szCs w:val="72"/>
        </w:rPr>
      </w:pPr>
    </w:p>
    <w:p w14:paraId="6B24D604">
      <w:pPr>
        <w:widowControl/>
        <w:jc w:val="center"/>
        <w:rPr>
          <w:rFonts w:ascii="楷体" w:hAnsi="楷体" w:eastAsia="楷体" w:cs="楷体"/>
          <w:b/>
          <w:sz w:val="40"/>
          <w:szCs w:val="40"/>
        </w:rPr>
      </w:pPr>
    </w:p>
    <w:p w14:paraId="6368C680">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一九年10</w:t>
      </w:r>
      <w:r>
        <w:rPr>
          <w:rFonts w:hint="eastAsia" w:ascii="楷体_GB2312" w:hAnsi="楷体" w:eastAsia="楷体_GB2312" w:cs="楷体"/>
          <w:b/>
          <w:sz w:val="40"/>
          <w:szCs w:val="40"/>
        </w:rPr>
        <w:t>月</w:t>
      </w:r>
      <w:r>
        <w:rPr>
          <w:rFonts w:hint="eastAsia" w:cs="楷体" w:asciiTheme="minorEastAsia" w:hAnsiTheme="minorEastAsia" w:eastAsiaTheme="minorEastAsia"/>
          <w:b/>
          <w:sz w:val="40"/>
          <w:szCs w:val="40"/>
        </w:rPr>
        <w:t>2</w:t>
      </w:r>
      <w:r>
        <w:rPr>
          <w:rFonts w:hint="eastAsia" w:ascii="宋体" w:hAnsi="宋体" w:cs="宋体"/>
          <w:b/>
          <w:sz w:val="40"/>
          <w:szCs w:val="40"/>
        </w:rPr>
        <w:t>9</w:t>
      </w:r>
      <w:r>
        <w:rPr>
          <w:rFonts w:hint="eastAsia" w:ascii="楷体_GB2312" w:hAnsi="楷体" w:eastAsia="楷体_GB2312" w:cs="楷体"/>
          <w:b/>
          <w:sz w:val="40"/>
          <w:szCs w:val="40"/>
        </w:rPr>
        <w:t>日</w:t>
      </w:r>
    </w:p>
    <w:p w14:paraId="0CF62730">
      <w:pPr>
        <w:spacing w:beforeLines="200" w:after="0" w:line="1000" w:lineRule="exact"/>
        <w:jc w:val="center"/>
        <w:rPr>
          <w:rFonts w:ascii="黑体" w:eastAsia="黑体"/>
          <w:sz w:val="48"/>
          <w:szCs w:val="48"/>
        </w:rPr>
      </w:pPr>
      <w:r>
        <w:rPr>
          <w:rFonts w:ascii="黑体" w:eastAsia="黑体"/>
          <w:sz w:val="48"/>
          <w:szCs w:val="48"/>
        </w:rPr>
        <w:pict>
          <v:group id="_x0000_s1121" o:spid="_x0000_s1121" o:spt="203" style="position:absolute;left:0pt;margin-left:-80.8pt;margin-top:39.95pt;height:46.7pt;width:250.05pt;mso-position-vertical-relative:page;z-index:251679744;mso-width-relative:page;mso-height-relative:page;" coordorigin="45,526" coordsize="85,13982"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top:526;height:11;width:85;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top:528;height:12;width:8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08B52B90">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1D93A6E0">
                    <w:pPr>
                      <w:jc w:val="center"/>
                    </w:pPr>
                  </w:p>
                </w:txbxContent>
              </v:textbox>
            </v:rect>
            <w10:anchorlock/>
          </v:group>
        </w:pict>
      </w:r>
      <w:r>
        <w:rPr>
          <w:rFonts w:hint="eastAsia" w:ascii="黑体" w:eastAsia="黑体"/>
          <w:sz w:val="48"/>
          <w:szCs w:val="48"/>
        </w:rPr>
        <w:t>目    录</w:t>
      </w:r>
    </w:p>
    <w:p w14:paraId="0825D322">
      <w:pPr>
        <w:widowControl/>
        <w:spacing w:line="580" w:lineRule="exact"/>
        <w:ind w:firstLine="640" w:firstLineChars="200"/>
        <w:rPr>
          <w:rFonts w:eastAsia="黑体"/>
          <w:sz w:val="32"/>
          <w:szCs w:val="32"/>
        </w:rPr>
      </w:pPr>
    </w:p>
    <w:p w14:paraId="02648377">
      <w:pPr>
        <w:widowControl/>
        <w:spacing w:line="580" w:lineRule="exact"/>
        <w:ind w:firstLine="640" w:firstLineChars="200"/>
        <w:rPr>
          <w:rFonts w:eastAsia="仿宋_GB2312"/>
          <w:sz w:val="24"/>
          <w:szCs w:val="32"/>
        </w:rPr>
      </w:pPr>
      <w:r>
        <w:rPr>
          <w:rFonts w:eastAsia="黑体"/>
          <w:sz w:val="32"/>
          <w:szCs w:val="32"/>
        </w:rPr>
        <w:t>第一部分   部门概况</w:t>
      </w:r>
    </w:p>
    <w:p w14:paraId="2EE57CDD">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7B8EE1C0">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52D2EE71">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7D3B236C">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3DDDCF99">
      <w:pPr>
        <w:widowControl/>
        <w:spacing w:line="580" w:lineRule="exact"/>
        <w:ind w:left="640" w:firstLine="640" w:firstLineChars="200"/>
        <w:rPr>
          <w:rFonts w:eastAsia="仿宋_GB2312"/>
          <w:sz w:val="32"/>
          <w:szCs w:val="32"/>
        </w:rPr>
      </w:pPr>
      <w:r>
        <w:rPr>
          <w:rFonts w:eastAsia="仿宋_GB2312"/>
          <w:sz w:val="32"/>
          <w:szCs w:val="32"/>
        </w:rPr>
        <w:t>二、收入决算表</w:t>
      </w:r>
    </w:p>
    <w:p w14:paraId="4A91A53A">
      <w:pPr>
        <w:widowControl/>
        <w:spacing w:line="580" w:lineRule="exact"/>
        <w:ind w:left="640" w:firstLine="640" w:firstLineChars="200"/>
        <w:rPr>
          <w:rFonts w:eastAsia="仿宋_GB2312"/>
          <w:sz w:val="32"/>
          <w:szCs w:val="32"/>
        </w:rPr>
      </w:pPr>
      <w:r>
        <w:rPr>
          <w:rFonts w:eastAsia="仿宋_GB2312"/>
          <w:sz w:val="32"/>
          <w:szCs w:val="32"/>
        </w:rPr>
        <w:t>三、支出决算表</w:t>
      </w:r>
    </w:p>
    <w:p w14:paraId="2869AC5C">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36F99B0C">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3A2136C4">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58371133">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3BEB129A">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022D4501">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62915E88">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782355F9">
      <w:pPr>
        <w:widowControl/>
        <w:spacing w:line="580" w:lineRule="exact"/>
        <w:ind w:firstLine="640" w:firstLineChars="200"/>
        <w:rPr>
          <w:rFonts w:eastAsia="黑体"/>
          <w:sz w:val="32"/>
          <w:szCs w:val="32"/>
        </w:rPr>
      </w:pPr>
    </w:p>
    <w:p w14:paraId="1EFC9257">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 xml:space="preserve">  石家庄市藁城区人民法院</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8720;mso-width-relative:page;mso-height-relative:page;" coordorigin="45,526" coordsize="85,13982"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top:526;height:11;width:85;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top:528;height:12;width:8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667D91D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611EFA5A">
                    <w:pPr>
                      <w:jc w:val="center"/>
                    </w:pPr>
                  </w:p>
                </w:txbxContent>
              </v:textbox>
            </v:rect>
            <w10:anchorlock/>
          </v:group>
        </w:pict>
      </w:r>
    </w:p>
    <w:p w14:paraId="6A4ABACA">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02EF539B">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58A8FC4B">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7281CA5D">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6D4E1071">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478C21F0">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4ECAAAF0">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0D7EC69B">
      <w:pPr>
        <w:widowControl/>
        <w:spacing w:line="580" w:lineRule="exact"/>
        <w:ind w:firstLine="640" w:firstLineChars="200"/>
        <w:rPr>
          <w:rFonts w:eastAsia="黑体"/>
          <w:sz w:val="32"/>
          <w:szCs w:val="32"/>
        </w:rPr>
      </w:pPr>
      <w:r>
        <w:rPr>
          <w:rFonts w:eastAsia="黑体"/>
          <w:sz w:val="32"/>
          <w:szCs w:val="32"/>
        </w:rPr>
        <w:t>第四部分  名词解释</w:t>
      </w:r>
    </w:p>
    <w:p w14:paraId="4B9C581D">
      <w:pPr>
        <w:widowControl/>
        <w:spacing w:line="580" w:lineRule="exact"/>
        <w:ind w:firstLine="640" w:firstLineChars="200"/>
        <w:rPr>
          <w:rFonts w:eastAsia="黑体"/>
          <w:sz w:val="32"/>
          <w:szCs w:val="32"/>
        </w:rPr>
      </w:pPr>
    </w:p>
    <w:p w14:paraId="71F9A2A3">
      <w:pPr>
        <w:widowControl/>
        <w:spacing w:line="580" w:lineRule="exact"/>
        <w:ind w:firstLine="640" w:firstLineChars="200"/>
        <w:rPr>
          <w:rFonts w:eastAsia="黑体"/>
          <w:sz w:val="32"/>
          <w:szCs w:val="32"/>
        </w:rPr>
      </w:pPr>
    </w:p>
    <w:p w14:paraId="34CE6251">
      <w:pPr>
        <w:widowControl/>
        <w:spacing w:line="580" w:lineRule="exact"/>
        <w:ind w:firstLine="640" w:firstLineChars="200"/>
        <w:rPr>
          <w:rFonts w:eastAsia="黑体"/>
          <w:sz w:val="32"/>
          <w:szCs w:val="32"/>
        </w:rPr>
      </w:pPr>
    </w:p>
    <w:p w14:paraId="7A353FB8">
      <w:pPr>
        <w:widowControl/>
        <w:spacing w:line="580" w:lineRule="exact"/>
        <w:ind w:firstLine="640" w:firstLineChars="200"/>
        <w:rPr>
          <w:rFonts w:eastAsia="黑体"/>
          <w:sz w:val="32"/>
          <w:szCs w:val="32"/>
        </w:rPr>
      </w:pPr>
    </w:p>
    <w:p w14:paraId="51640B79">
      <w:r>
        <w:br w:type="page"/>
      </w:r>
    </w:p>
    <w:p w14:paraId="4F778720">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667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13FC0FE4">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14:paraId="664B5673"/>
    <w:p w14:paraId="667C63C2"/>
    <w:p w14:paraId="560BC698"/>
    <w:p w14:paraId="2F32DFA3"/>
    <w:p w14:paraId="0B94A571"/>
    <w:p w14:paraId="0A4E6B43"/>
    <w:p w14:paraId="5F103C44"/>
    <w:p w14:paraId="0A13AF04"/>
    <w:p w14:paraId="63A8487C"/>
    <w:p w14:paraId="0F6581E0"/>
    <w:p w14:paraId="29D64B83"/>
    <w:p w14:paraId="219215A4"/>
    <w:p w14:paraId="54D3CA8E"/>
    <w:p w14:paraId="05FF224D"/>
    <w:p w14:paraId="58FEDFDB"/>
    <w:p w14:paraId="71D247E4">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71552;mso-width-relative:page;mso-height-relative:page;" coordorigin="45,526" coordsize="85,13982"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top:526;height:11;width:85;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top:528;height:12;width:8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3417830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5DF9AEC1">
                    <w:pPr>
                      <w:jc w:val="center"/>
                    </w:pPr>
                  </w:p>
                </w:txbxContent>
              </v:textbox>
            </v:rect>
            <w10:anchorlock/>
          </v:group>
        </w:pict>
      </w:r>
      <w:r>
        <w:rPr>
          <w:rFonts w:hint="eastAsia" w:ascii="黑体" w:eastAsia="黑体" w:cs="黑体" w:hAnsiTheme="minorHAnsi"/>
          <w:b w:val="0"/>
          <w:bCs w:val="0"/>
          <w:kern w:val="0"/>
          <w:sz w:val="32"/>
          <w:szCs w:val="32"/>
        </w:rPr>
        <w:t>一、部门职责</w:t>
      </w:r>
    </w:p>
    <w:p w14:paraId="3FD48C97">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14:paraId="02ED863B">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（二）依法审判法律规定由藁城区人民法院管辖的刑事、民事、行政等第一审案件。</w:t>
      </w:r>
    </w:p>
    <w:p w14:paraId="634F4145">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（三）依法审判上级人民法院指定、同级人民法院移送的刑事、民事、行政等第一审案件。</w:t>
      </w:r>
    </w:p>
    <w:p w14:paraId="7FD60DF1">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（四）审查和受理各类申诉案件，审判各类再审案件，处理来信来访。</w:t>
      </w:r>
    </w:p>
    <w:p w14:paraId="69C60F1F">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（五）依法办理发生法律效力的民事、行政案件判决和裁定执行事项及刑事案件判决和裁定中关于财产部分的执行事项；办理法律规定由基层人民法院执行的其他法律文书的执行事项。</w:t>
      </w:r>
    </w:p>
    <w:p w14:paraId="19A8054C">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（六）负责审判工作的调查研究，总结审判工作经验。</w:t>
      </w:r>
    </w:p>
    <w:p w14:paraId="4140A34B">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（七）负责干警思想政治教育和业务培训工作；按照权限管理法官和其他工作人员。</w:t>
      </w:r>
    </w:p>
    <w:p w14:paraId="75B7C290">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（八）管理有关经费及物资装备。</w:t>
      </w:r>
    </w:p>
    <w:p w14:paraId="45CB027E">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（九）负责司法技术鉴定、通讯、计算机等技术管理工作。</w:t>
      </w:r>
    </w:p>
    <w:p w14:paraId="1D330CB2">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（十）负责审判工作中的法制宣传，教育公民忠于祖国，自觉遵守宪法、法律和社会公德。</w:t>
      </w:r>
    </w:p>
    <w:p w14:paraId="54D64F67">
      <w:pPr>
        <w:autoSpaceDE w:val="0"/>
        <w:autoSpaceDN w:val="0"/>
        <w:adjustRightInd w:val="0"/>
        <w:spacing w:after="0" w:line="560" w:lineRule="exact"/>
        <w:ind w:firstLine="640" w:firstLineChars="200"/>
        <w:jc w:val="left"/>
        <w:rPr>
          <w:rFonts w:ascii="仿宋" w:hAnsi="仿宋" w:eastAsia="仿宋" w:cs="ArialUnicodeMS"/>
          <w:color w:val="000000" w:themeColor="text1"/>
          <w:kern w:val="0"/>
          <w:sz w:val="32"/>
          <w:szCs w:val="32"/>
        </w:rPr>
      </w:pPr>
      <w:r>
        <w:rPr>
          <w:rFonts w:hint="eastAsia" w:ascii="仿宋" w:hAnsi="仿宋" w:eastAsia="仿宋" w:cs="ArialUnicodeMS"/>
          <w:color w:val="000000" w:themeColor="text1"/>
          <w:kern w:val="0"/>
          <w:sz w:val="32"/>
          <w:szCs w:val="32"/>
        </w:rPr>
        <w:t>（十一）完成其他应由藁城区人民法院负责的工作。</w:t>
      </w:r>
    </w:p>
    <w:p w14:paraId="7ED156FD">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461296AB">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A388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62A7E5C">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69DDEEB5">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262A6BA5">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0130BEA8">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5A8BF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689B699">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7BDBDBDD">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石家庄市藁城区人民法院</w:t>
            </w:r>
          </w:p>
        </w:tc>
        <w:tc>
          <w:tcPr>
            <w:tcW w:w="2445" w:type="dxa"/>
          </w:tcPr>
          <w:p w14:paraId="2C6ABFDD">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14:paraId="350C18C9">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14:paraId="0F4F3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D91CA95">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14:paraId="3C5927D9">
            <w:pPr>
              <w:spacing w:after="0" w:line="560" w:lineRule="exact"/>
              <w:rPr>
                <w:rFonts w:ascii="仿宋_GB2312" w:eastAsia="仿宋_GB2312" w:cs="ArialUnicodeMS" w:hAnsiTheme="minorHAnsi"/>
                <w:kern w:val="0"/>
                <w:sz w:val="28"/>
                <w:szCs w:val="28"/>
              </w:rPr>
            </w:pPr>
          </w:p>
        </w:tc>
        <w:tc>
          <w:tcPr>
            <w:tcW w:w="2445" w:type="dxa"/>
          </w:tcPr>
          <w:p w14:paraId="41F2C72B">
            <w:pPr>
              <w:spacing w:after="0" w:line="560" w:lineRule="exact"/>
              <w:jc w:val="center"/>
              <w:rPr>
                <w:rFonts w:ascii="仿宋_GB2312" w:eastAsia="仿宋_GB2312" w:cs="ArialUnicodeMS" w:hAnsiTheme="minorHAnsi"/>
                <w:kern w:val="0"/>
                <w:sz w:val="28"/>
                <w:szCs w:val="28"/>
              </w:rPr>
            </w:pPr>
          </w:p>
        </w:tc>
        <w:tc>
          <w:tcPr>
            <w:tcW w:w="2665" w:type="dxa"/>
          </w:tcPr>
          <w:p w14:paraId="31D1CF80">
            <w:pPr>
              <w:spacing w:after="0" w:line="560" w:lineRule="exact"/>
              <w:jc w:val="center"/>
              <w:rPr>
                <w:rFonts w:ascii="仿宋_GB2312" w:eastAsia="仿宋_GB2312" w:cs="ArialUnicodeMS" w:hAnsiTheme="minorHAnsi"/>
                <w:kern w:val="0"/>
                <w:sz w:val="28"/>
                <w:szCs w:val="28"/>
              </w:rPr>
            </w:pPr>
          </w:p>
        </w:tc>
      </w:tr>
      <w:tr w14:paraId="2C999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E60BF85">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14:paraId="5AFBDE76">
            <w:pPr>
              <w:spacing w:after="0" w:line="560" w:lineRule="exact"/>
              <w:rPr>
                <w:rFonts w:ascii="仿宋_GB2312" w:eastAsia="仿宋_GB2312" w:cs="ArialUnicodeMS" w:hAnsiTheme="minorHAnsi"/>
                <w:kern w:val="0"/>
                <w:sz w:val="28"/>
                <w:szCs w:val="28"/>
              </w:rPr>
            </w:pPr>
          </w:p>
        </w:tc>
        <w:tc>
          <w:tcPr>
            <w:tcW w:w="2445" w:type="dxa"/>
          </w:tcPr>
          <w:p w14:paraId="6329C7B7">
            <w:pPr>
              <w:spacing w:after="0" w:line="560" w:lineRule="exact"/>
              <w:jc w:val="center"/>
              <w:rPr>
                <w:rFonts w:ascii="仿宋_GB2312" w:eastAsia="仿宋_GB2312" w:cs="ArialUnicodeMS" w:hAnsiTheme="minorHAnsi"/>
                <w:kern w:val="0"/>
                <w:sz w:val="28"/>
                <w:szCs w:val="28"/>
              </w:rPr>
            </w:pPr>
          </w:p>
        </w:tc>
        <w:tc>
          <w:tcPr>
            <w:tcW w:w="2665" w:type="dxa"/>
          </w:tcPr>
          <w:p w14:paraId="0115D6FA">
            <w:pPr>
              <w:spacing w:after="0" w:line="560" w:lineRule="exact"/>
              <w:jc w:val="center"/>
              <w:rPr>
                <w:rFonts w:ascii="仿宋_GB2312" w:eastAsia="仿宋_GB2312" w:cs="ArialUnicodeMS" w:hAnsiTheme="minorHAnsi"/>
                <w:kern w:val="0"/>
                <w:sz w:val="28"/>
                <w:szCs w:val="28"/>
              </w:rPr>
            </w:pPr>
          </w:p>
        </w:tc>
      </w:tr>
      <w:tr w14:paraId="5CA31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4CFA7771">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14:paraId="2E5756A6">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14:paraId="3B010012">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14:paraId="2634CF73">
            <w:pPr>
              <w:spacing w:after="0" w:line="560" w:lineRule="exact"/>
              <w:jc w:val="center"/>
              <w:rPr>
                <w:rFonts w:ascii="仿宋_GB2312" w:eastAsia="仿宋_GB2312" w:cs="ArialUnicodeMS" w:hAnsiTheme="minorHAnsi"/>
                <w:kern w:val="0"/>
                <w:sz w:val="28"/>
                <w:szCs w:val="28"/>
              </w:rPr>
            </w:pPr>
          </w:p>
        </w:tc>
      </w:tr>
      <w:tr w14:paraId="1F238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63958020">
            <w:pPr>
              <w:spacing w:after="0" w:line="560" w:lineRule="exact"/>
              <w:ind w:firstLine="560" w:firstLineChars="200"/>
              <w:jc w:val="left"/>
              <w:rPr>
                <w:rFonts w:ascii="仿宋_GB2312" w:eastAsia="仿宋_GB2312" w:cs="ArialUnicodeMS" w:hAnsiTheme="minorHAnsi"/>
                <w:kern w:val="0"/>
                <w:sz w:val="28"/>
                <w:szCs w:val="28"/>
              </w:rPr>
            </w:pPr>
          </w:p>
        </w:tc>
      </w:tr>
    </w:tbl>
    <w:p w14:paraId="7B739384">
      <w:pPr>
        <w:spacing w:after="0" w:line="560" w:lineRule="exact"/>
        <w:rPr>
          <w:rFonts w:ascii="仿宋_GB2312" w:eastAsia="仿宋_GB2312" w:cs="ArialUnicodeMS" w:hAnsiTheme="minorHAnsi"/>
          <w:kern w:val="0"/>
          <w:sz w:val="32"/>
          <w:szCs w:val="32"/>
        </w:rPr>
      </w:pPr>
    </w:p>
    <w:p w14:paraId="4D6FA679">
      <w:pPr>
        <w:widowControl/>
        <w:spacing w:line="560" w:lineRule="exact"/>
        <w:jc w:val="center"/>
        <w:rPr>
          <w:rFonts w:ascii="黑体" w:eastAsia="黑体" w:cs="MS-UIGothic,Bold" w:hAnsiTheme="minorHAnsi"/>
          <w:bCs/>
          <w:kern w:val="0"/>
          <w:sz w:val="52"/>
          <w:szCs w:val="52"/>
        </w:rPr>
      </w:pPr>
    </w:p>
    <w:p w14:paraId="48E072F7">
      <w:pPr>
        <w:widowControl/>
        <w:spacing w:line="560" w:lineRule="exact"/>
        <w:jc w:val="center"/>
        <w:rPr>
          <w:rFonts w:ascii="黑体" w:eastAsia="黑体" w:cs="MS-UIGothic,Bold" w:hAnsiTheme="minorHAnsi"/>
          <w:bCs/>
          <w:kern w:val="0"/>
          <w:sz w:val="52"/>
          <w:szCs w:val="52"/>
        </w:rPr>
      </w:pPr>
    </w:p>
    <w:p w14:paraId="6FE06F75">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172A6AFD">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540F55BD">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80.2pt;margin-top:167.55pt;height:159.1pt;width:596.2pt;z-index:25167257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13357AB6">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6D9EBC4A">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14:paraId="2835B36F">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14:paraId="7C8E616B">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6F07D348">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1DF73EA0">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14:paraId="238E31B3">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8960;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top:526;height:11;width:85;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top:528;height:12;width:8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7712A13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082B4C0">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14:paraId="271E307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本部门2018年度收支总计（含结转和结余）2876.43万元。与2017年度决算相比，收支各减少374.14万元，下降11.5%，主要原因是人员经费支出减少。</w:t>
      </w:r>
    </w:p>
    <w:p w14:paraId="23CF2CFE">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3134221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本部门2018年度本年收入合计285</w:t>
      </w:r>
      <w:r>
        <w:rPr>
          <w:rFonts w:hint="eastAsia" w:ascii="宋体" w:hAnsi="宋体" w:cs="宋体"/>
          <w:sz w:val="32"/>
          <w:szCs w:val="32"/>
        </w:rPr>
        <w:t>9</w:t>
      </w:r>
      <w:r>
        <w:rPr>
          <w:rFonts w:hint="eastAsia" w:ascii="仿宋_GB2312" w:eastAsia="仿宋_GB2312" w:cs="DengXian-Regular"/>
          <w:sz w:val="32"/>
          <w:szCs w:val="32"/>
        </w:rPr>
        <w:t>.28万元，其中：财政拨款收入285</w:t>
      </w:r>
      <w:r>
        <w:rPr>
          <w:rFonts w:hint="eastAsia" w:ascii="宋体" w:hAnsi="宋体" w:cs="宋体"/>
          <w:sz w:val="32"/>
          <w:szCs w:val="32"/>
        </w:rPr>
        <w:t>9</w:t>
      </w:r>
      <w:r>
        <w:rPr>
          <w:rFonts w:hint="eastAsia" w:ascii="仿宋_GB2312" w:eastAsia="仿宋_GB2312" w:cs="DengXian-Regular"/>
          <w:sz w:val="32"/>
          <w:szCs w:val="32"/>
        </w:rPr>
        <w:t>.28万元，占100%；事业收入0万元，占0%；经营收入0万元，占0%；其他收入0万元，占0%。如图所示：</w:t>
      </w:r>
    </w:p>
    <w:p w14:paraId="0087E872">
      <w:pPr>
        <w:adjustRightInd w:val="0"/>
        <w:snapToGrid w:val="0"/>
        <w:spacing w:after="0" w:line="580" w:lineRule="exact"/>
        <w:ind w:firstLine="1260" w:firstLineChars="600"/>
        <w:rPr>
          <w:rFonts w:ascii="仿宋_GB2312" w:eastAsia="仿宋_GB2312" w:cs="DengXian-Regular"/>
          <w:sz w:val="32"/>
          <w:szCs w:val="32"/>
        </w:rPr>
      </w:pPr>
      <w:r>
        <w:pict>
          <v:group id="_x0000_s1076" o:spid="_x0000_s1076" o:spt="203" style="position:absolute;left:0pt;margin-left:73.8pt;margin-top:8.3pt;height:247.35pt;width:303.05pt;z-index:251676672;mso-width-relative:page;mso-height-relative:page;" coordorigin="68,1800" coordsize="51,32442"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top:1800;height:29;width:5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8" cropleft="2131f" croptop="1490f" cropright="1218f" cropbottom="5217f" o:title=""/>
              <o:lock v:ext="edit" aspectratio="t"/>
            </v:shape>
            <v:shape id="_x0000_s1077" o:spid="_x0000_s1077" o:spt="202" type="#_x0000_t202" style="position:absolute;left:76;top:1829;height:4;width:3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14:paraId="0A33D852">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75D4985F">
                    <w:pPr>
                      <w:rPr>
                        <w:sz w:val="20"/>
                        <w:szCs w:val="22"/>
                      </w:rPr>
                    </w:pPr>
                  </w:p>
                </w:txbxContent>
              </v:textbox>
            </v:shape>
          </v:group>
        </w:pict>
      </w:r>
    </w:p>
    <w:p w14:paraId="5842C038">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65408" behindDoc="0" locked="0" layoutInCell="1" allowOverlap="1">
            <wp:simplePos x="0" y="0"/>
            <wp:positionH relativeFrom="column">
              <wp:posOffset>1290320</wp:posOffset>
            </wp:positionH>
            <wp:positionV relativeFrom="paragraph">
              <wp:posOffset>158115</wp:posOffset>
            </wp:positionV>
            <wp:extent cx="3441700" cy="2600960"/>
            <wp:effectExtent l="4445" t="4445" r="20955" b="23495"/>
            <wp:wrapSquare wrapText="bothSides"/>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6475E4AD">
      <w:pPr>
        <w:adjustRightInd w:val="0"/>
        <w:snapToGrid w:val="0"/>
        <w:spacing w:after="0" w:line="580" w:lineRule="exact"/>
        <w:ind w:firstLine="1920" w:firstLineChars="600"/>
        <w:rPr>
          <w:rFonts w:ascii="仿宋_GB2312" w:eastAsia="仿宋_GB2312" w:cs="DengXian-Regular"/>
          <w:sz w:val="32"/>
          <w:szCs w:val="32"/>
        </w:rPr>
      </w:pPr>
    </w:p>
    <w:p w14:paraId="5723E93E">
      <w:pPr>
        <w:adjustRightInd w:val="0"/>
        <w:snapToGrid w:val="0"/>
        <w:spacing w:after="0" w:line="580" w:lineRule="exact"/>
        <w:ind w:firstLine="1920" w:firstLineChars="600"/>
        <w:rPr>
          <w:rFonts w:ascii="仿宋_GB2312" w:eastAsia="仿宋_GB2312" w:cs="DengXian-Regular"/>
          <w:sz w:val="32"/>
          <w:szCs w:val="32"/>
        </w:rPr>
      </w:pPr>
    </w:p>
    <w:p w14:paraId="690E94E8">
      <w:pPr>
        <w:adjustRightInd w:val="0"/>
        <w:snapToGrid w:val="0"/>
        <w:spacing w:after="0" w:line="580" w:lineRule="exact"/>
        <w:ind w:firstLine="1920" w:firstLineChars="600"/>
        <w:rPr>
          <w:rFonts w:ascii="仿宋_GB2312" w:eastAsia="仿宋_GB2312" w:cs="DengXian-Regular"/>
          <w:sz w:val="32"/>
          <w:szCs w:val="32"/>
        </w:rPr>
      </w:pPr>
    </w:p>
    <w:p w14:paraId="1A40B570">
      <w:pPr>
        <w:pStyle w:val="3"/>
        <w:spacing w:before="0" w:after="0" w:line="580" w:lineRule="exact"/>
        <w:ind w:firstLine="643" w:firstLineChars="200"/>
        <w:rPr>
          <w:rFonts w:ascii="黑体" w:eastAsia="黑体"/>
        </w:rPr>
      </w:pPr>
    </w:p>
    <w:p w14:paraId="2162AEAC">
      <w:pPr>
        <w:pStyle w:val="3"/>
        <w:spacing w:before="0" w:after="0" w:line="580" w:lineRule="exact"/>
        <w:ind w:firstLine="640" w:firstLineChars="200"/>
        <w:rPr>
          <w:rFonts w:ascii="黑体" w:eastAsia="黑体"/>
          <w:b w:val="0"/>
          <w:bCs w:val="0"/>
        </w:rPr>
      </w:pPr>
    </w:p>
    <w:p w14:paraId="4153B02B">
      <w:pPr>
        <w:pStyle w:val="3"/>
        <w:spacing w:before="0" w:after="0" w:line="580" w:lineRule="exact"/>
        <w:rPr>
          <w:rFonts w:ascii="黑体" w:eastAsia="黑体"/>
          <w:b w:val="0"/>
          <w:bCs w:val="0"/>
        </w:rPr>
      </w:pPr>
    </w:p>
    <w:p w14:paraId="6A6EF055">
      <w:pPr>
        <w:pStyle w:val="3"/>
        <w:spacing w:before="0" w:after="0" w:line="580" w:lineRule="exact"/>
        <w:rPr>
          <w:rFonts w:ascii="黑体" w:eastAsia="黑体"/>
          <w:b w:val="0"/>
          <w:bCs w:val="0"/>
        </w:rPr>
      </w:pPr>
    </w:p>
    <w:p w14:paraId="57FA873F">
      <w:pPr>
        <w:pStyle w:val="3"/>
        <w:spacing w:before="0" w:after="0" w:line="580" w:lineRule="exact"/>
        <w:jc w:val="center"/>
        <w:rPr>
          <w:rFonts w:ascii="黑体" w:eastAsia="黑体"/>
          <w:b w:val="0"/>
          <w:bCs w:val="0"/>
        </w:rPr>
      </w:pPr>
      <w:r>
        <w:rPr>
          <w:rFonts w:hint="eastAsia" w:ascii="黑体" w:eastAsia="黑体"/>
          <w:b w:val="0"/>
          <w:bCs w:val="0"/>
        </w:rPr>
        <w:t>图一：2018年收入构成图</w:t>
      </w:r>
    </w:p>
    <w:p w14:paraId="1D6F2D1E">
      <w:pPr>
        <w:pStyle w:val="3"/>
        <w:spacing w:before="0" w:after="0" w:line="580" w:lineRule="exact"/>
        <w:rPr>
          <w:rFonts w:ascii="黑体" w:eastAsia="黑体"/>
          <w:b w:val="0"/>
          <w:bCs w:val="0"/>
        </w:rPr>
      </w:pPr>
      <w:r>
        <w:rPr>
          <w:rFonts w:hint="eastAsia" w:ascii="黑体" w:eastAsia="黑体"/>
          <w:b w:val="0"/>
          <w:bCs w:val="0"/>
        </w:rPr>
        <w:t>三、支出决算情况说明</w:t>
      </w:r>
    </w:p>
    <w:p w14:paraId="4189817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本部门2018年度本年支出合计2868.76万元，其中：基本支出1888</w:t>
      </w:r>
      <w:r>
        <w:rPr>
          <w:rFonts w:hint="eastAsia" w:cs="DengXian-Regular" w:asciiTheme="minorEastAsia" w:hAnsiTheme="minorEastAsia" w:eastAsiaTheme="minorEastAsia"/>
          <w:sz w:val="32"/>
          <w:szCs w:val="32"/>
        </w:rPr>
        <w:t>.9</w:t>
      </w:r>
      <w:r>
        <w:rPr>
          <w:rFonts w:hint="eastAsia" w:ascii="仿宋_GB2312" w:eastAsia="仿宋_GB2312" w:cs="DengXian-Regular"/>
          <w:sz w:val="32"/>
          <w:szCs w:val="32"/>
        </w:rPr>
        <w:t>8万元，占65.85%；项目支出</w:t>
      </w:r>
      <w:r>
        <w:rPr>
          <w:rFonts w:hint="eastAsia" w:ascii="宋体" w:hAnsi="宋体" w:cs="宋体"/>
          <w:sz w:val="32"/>
          <w:szCs w:val="32"/>
        </w:rPr>
        <w:t>979</w:t>
      </w:r>
      <w:r>
        <w:rPr>
          <w:rFonts w:hint="eastAsia" w:ascii="仿宋_GB2312" w:eastAsia="仿宋_GB2312" w:cs="DengXian-Regular"/>
          <w:sz w:val="32"/>
          <w:szCs w:val="32"/>
        </w:rPr>
        <w:t>.78万元，占34.15%；经营支出0万元，占0%。如图所示：</w:t>
      </w:r>
    </w:p>
    <w:p w14:paraId="1645BE97">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40832;mso-width-relative:page;mso-height-relative:page;" coordorigin="70,1907" coordsize="46,36072"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74" o:spid="_x0000_s1074" o:spt="202" type="#_x0000_t202" style="position:absolute;left:72;top:1936;height:7;width:42;"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14:paraId="3623FD16">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5798BCE3">
                    <w:pPr>
                      <w:rPr>
                        <w:sz w:val="20"/>
                        <w:szCs w:val="22"/>
                      </w:rPr>
                    </w:pPr>
                  </w:p>
                </w:txbxContent>
              </v:textbox>
            </v:shape>
          </v:group>
        </w:pict>
      </w:r>
    </w:p>
    <w:p w14:paraId="7F9FB814">
      <w:pPr>
        <w:adjustRightInd w:val="0"/>
        <w:snapToGrid w:val="0"/>
        <w:spacing w:after="0" w:line="580" w:lineRule="exact"/>
        <w:ind w:firstLine="1260" w:firstLineChars="600"/>
        <w:rPr>
          <w:rFonts w:ascii="仿宋_GB2312" w:eastAsia="仿宋_GB2312" w:cs="DengXian-Regular"/>
          <w:sz w:val="32"/>
          <w:szCs w:val="32"/>
        </w:rPr>
      </w:pPr>
      <w:r>
        <w:rPr>
          <w:rFonts w:hint="eastAsia" w:ascii="黑体" w:eastAsia="黑体"/>
        </w:rPr>
        <w:drawing>
          <wp:anchor distT="0" distB="0" distL="114300" distR="114300" simplePos="0" relativeHeight="251666432" behindDoc="0" locked="0" layoutInCell="1" allowOverlap="1">
            <wp:simplePos x="0" y="0"/>
            <wp:positionH relativeFrom="column">
              <wp:posOffset>868045</wp:posOffset>
            </wp:positionH>
            <wp:positionV relativeFrom="paragraph">
              <wp:posOffset>26035</wp:posOffset>
            </wp:positionV>
            <wp:extent cx="3813175" cy="2953385"/>
            <wp:effectExtent l="4445" t="4445" r="11430" b="13970"/>
            <wp:wrapSquare wrapText="bothSides"/>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sz w:val="44"/>
        </w:rPr>
        <w:pict>
          <v:group id="_x0000_s1070" o:spid="_x0000_s1070" o:spt="203" style="position:absolute;left:0pt;margin-left:-0.55pt;margin-top:29.3pt;height:43.95pt;width:301.85pt;mso-position-horizontal-relative:page;mso-position-vertical-relative:page;z-index:251680768;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top:526;height:11;width:85;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top:528;height:12;width:8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500BB48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2949D43">
                    <w:pPr>
                      <w:jc w:val="center"/>
                    </w:pPr>
                  </w:p>
                </w:txbxContent>
              </v:textbox>
            </v:rect>
            <w10:anchorlock/>
          </v:group>
        </w:pict>
      </w:r>
    </w:p>
    <w:p w14:paraId="558692C3">
      <w:pPr>
        <w:adjustRightInd w:val="0"/>
        <w:snapToGrid w:val="0"/>
        <w:spacing w:after="0" w:line="580" w:lineRule="exact"/>
        <w:ind w:firstLine="1920" w:firstLineChars="600"/>
        <w:rPr>
          <w:rFonts w:ascii="仿宋_GB2312" w:eastAsia="仿宋_GB2312" w:cs="DengXian-Regular"/>
          <w:sz w:val="32"/>
          <w:szCs w:val="32"/>
        </w:rPr>
      </w:pPr>
    </w:p>
    <w:p w14:paraId="33BB2C90">
      <w:pPr>
        <w:pStyle w:val="3"/>
        <w:spacing w:before="0" w:after="0" w:line="580" w:lineRule="exact"/>
        <w:ind w:firstLine="643" w:firstLineChars="200"/>
        <w:rPr>
          <w:rFonts w:ascii="黑体" w:eastAsia="黑体"/>
        </w:rPr>
      </w:pPr>
    </w:p>
    <w:p w14:paraId="0AEF27FD">
      <w:pPr>
        <w:pStyle w:val="3"/>
        <w:spacing w:before="0" w:after="0" w:line="580" w:lineRule="exact"/>
        <w:ind w:firstLine="643" w:firstLineChars="200"/>
        <w:rPr>
          <w:rFonts w:ascii="黑体" w:eastAsia="黑体"/>
        </w:rPr>
      </w:pPr>
    </w:p>
    <w:p w14:paraId="5D162D3E">
      <w:pPr>
        <w:pStyle w:val="3"/>
        <w:spacing w:before="0" w:after="0" w:line="580" w:lineRule="exact"/>
        <w:ind w:firstLine="643" w:firstLineChars="200"/>
        <w:rPr>
          <w:rFonts w:ascii="黑体" w:eastAsia="黑体"/>
        </w:rPr>
      </w:pPr>
    </w:p>
    <w:p w14:paraId="55D3CDA2">
      <w:pPr>
        <w:pStyle w:val="3"/>
        <w:spacing w:before="0" w:after="0" w:line="580" w:lineRule="exact"/>
        <w:ind w:firstLine="640" w:firstLineChars="200"/>
        <w:rPr>
          <w:rFonts w:ascii="黑体" w:eastAsia="黑体"/>
          <w:b w:val="0"/>
          <w:bCs w:val="0"/>
        </w:rPr>
      </w:pPr>
    </w:p>
    <w:p w14:paraId="1CBE4B8B">
      <w:pPr>
        <w:pStyle w:val="3"/>
        <w:spacing w:before="0" w:after="0" w:line="580" w:lineRule="exact"/>
        <w:ind w:firstLine="640" w:firstLineChars="200"/>
        <w:rPr>
          <w:rFonts w:ascii="黑体" w:eastAsia="黑体"/>
          <w:b w:val="0"/>
          <w:bCs w:val="0"/>
        </w:rPr>
      </w:pPr>
    </w:p>
    <w:p w14:paraId="74463D18">
      <w:pPr>
        <w:pStyle w:val="3"/>
        <w:spacing w:before="0" w:after="0" w:line="580" w:lineRule="exact"/>
        <w:ind w:firstLine="640" w:firstLineChars="200"/>
        <w:rPr>
          <w:rFonts w:ascii="黑体" w:eastAsia="黑体"/>
          <w:b w:val="0"/>
          <w:bCs w:val="0"/>
        </w:rPr>
      </w:pPr>
    </w:p>
    <w:p w14:paraId="5276586E">
      <w:pPr>
        <w:pStyle w:val="3"/>
        <w:spacing w:before="0" w:after="0" w:line="580" w:lineRule="exact"/>
        <w:ind w:firstLine="640" w:firstLineChars="200"/>
        <w:jc w:val="center"/>
        <w:rPr>
          <w:rFonts w:ascii="黑体" w:eastAsia="黑体"/>
          <w:b w:val="0"/>
          <w:bCs w:val="0"/>
        </w:rPr>
      </w:pPr>
      <w:r>
        <w:rPr>
          <w:rFonts w:hint="eastAsia" w:ascii="黑体" w:eastAsia="黑体"/>
          <w:b w:val="0"/>
          <w:bCs w:val="0"/>
        </w:rPr>
        <w:t>图二：2018年支出构成图</w:t>
      </w:r>
    </w:p>
    <w:p w14:paraId="0D58B42B">
      <w:pPr>
        <w:pStyle w:val="3"/>
        <w:spacing w:before="0" w:after="0" w:line="580" w:lineRule="exact"/>
        <w:ind w:firstLine="640" w:firstLineChars="200"/>
        <w:rPr>
          <w:rFonts w:ascii="黑体" w:eastAsia="黑体"/>
          <w:b w:val="0"/>
          <w:bCs w:val="0"/>
        </w:rPr>
      </w:pPr>
    </w:p>
    <w:p w14:paraId="5D2268DD">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7F94BBED">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410F0D8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本部门2018年度形成的财政拨款收支均为一般公共预算财政拨款，其中一般公共预算财政拨款本年收入285</w:t>
      </w:r>
      <w:r>
        <w:rPr>
          <w:rFonts w:hint="eastAsia" w:ascii="宋体" w:hAnsi="宋体" w:cs="宋体"/>
          <w:sz w:val="32"/>
          <w:szCs w:val="32"/>
        </w:rPr>
        <w:t>9</w:t>
      </w:r>
      <w:r>
        <w:rPr>
          <w:rFonts w:hint="eastAsia" w:ascii="仿宋_GB2312" w:eastAsia="仿宋_GB2312" w:cs="DengXian-Regular"/>
          <w:sz w:val="32"/>
          <w:szCs w:val="32"/>
        </w:rPr>
        <w:t>.28万元,比2017年减少</w:t>
      </w:r>
      <w:r>
        <w:rPr>
          <w:rFonts w:hint="eastAsia" w:cs="DengXian-Regular" w:asciiTheme="minorEastAsia" w:hAnsiTheme="minorEastAsia" w:eastAsiaTheme="minorEastAsia"/>
          <w:sz w:val="32"/>
          <w:szCs w:val="32"/>
        </w:rPr>
        <w:t>3</w:t>
      </w:r>
      <w:r>
        <w:rPr>
          <w:rFonts w:hint="eastAsia" w:ascii="宋体" w:hAnsi="宋体" w:cs="宋体"/>
          <w:sz w:val="32"/>
          <w:szCs w:val="32"/>
        </w:rPr>
        <w:t>91.29</w:t>
      </w:r>
      <w:r>
        <w:rPr>
          <w:rFonts w:hint="eastAsia" w:ascii="仿宋_GB2312" w:eastAsia="仿宋_GB2312" w:cs="DengXian-Regular"/>
          <w:sz w:val="32"/>
          <w:szCs w:val="32"/>
        </w:rPr>
        <w:t>万元，降低12.04%，主要是人员经费减少；本年支出2868.76万元，减少381.81万元，降低11.75%，主要是人员经费减少。</w:t>
      </w:r>
    </w:p>
    <w:p w14:paraId="50DC52E8">
      <w:pPr>
        <w:adjustRightInd w:val="0"/>
        <w:snapToGrid w:val="0"/>
        <w:spacing w:after="0" w:line="580" w:lineRule="exact"/>
        <w:ind w:firstLine="640" w:firstLineChars="200"/>
        <w:rPr>
          <w:rFonts w:ascii="仿宋_GB2312" w:eastAsia="仿宋_GB2312" w:cs="DengXian-Regular"/>
          <w:sz w:val="32"/>
          <w:szCs w:val="32"/>
        </w:rPr>
      </w:pPr>
    </w:p>
    <w:p w14:paraId="05AED618">
      <w:pPr>
        <w:adjustRightInd w:val="0"/>
        <w:snapToGrid w:val="0"/>
        <w:spacing w:after="0" w:line="580" w:lineRule="exact"/>
        <w:ind w:firstLine="640" w:firstLineChars="200"/>
        <w:rPr>
          <w:rFonts w:ascii="仿宋_GB2312" w:eastAsia="仿宋_GB2312" w:cs="DengXian-Regular"/>
          <w:sz w:val="32"/>
          <w:szCs w:val="32"/>
        </w:rPr>
      </w:pPr>
    </w:p>
    <w:p w14:paraId="380B54F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8480" behindDoc="0" locked="0" layoutInCell="1" allowOverlap="1">
            <wp:simplePos x="0" y="0"/>
            <wp:positionH relativeFrom="column">
              <wp:posOffset>839470</wp:posOffset>
            </wp:positionH>
            <wp:positionV relativeFrom="paragraph">
              <wp:posOffset>186690</wp:posOffset>
            </wp:positionV>
            <wp:extent cx="3994150" cy="3714750"/>
            <wp:effectExtent l="4445" t="4445" r="20955" b="14605"/>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18A3D644">
      <w:pPr>
        <w:adjustRightInd w:val="0"/>
        <w:snapToGrid w:val="0"/>
        <w:spacing w:after="0" w:line="580" w:lineRule="exact"/>
        <w:ind w:firstLine="640" w:firstLineChars="200"/>
        <w:rPr>
          <w:rFonts w:ascii="仿宋_GB2312" w:eastAsia="仿宋_GB2312" w:cs="DengXian-Regular"/>
          <w:sz w:val="32"/>
          <w:szCs w:val="32"/>
        </w:rPr>
      </w:pPr>
    </w:p>
    <w:p w14:paraId="74781787">
      <w:pPr>
        <w:adjustRightInd w:val="0"/>
        <w:snapToGrid w:val="0"/>
        <w:spacing w:after="0" w:line="580" w:lineRule="exact"/>
        <w:ind w:firstLine="640" w:firstLineChars="200"/>
        <w:rPr>
          <w:rFonts w:ascii="仿宋_GB2312" w:eastAsia="仿宋_GB2312" w:cs="DengXian-Regular"/>
          <w:sz w:val="32"/>
          <w:szCs w:val="32"/>
        </w:rPr>
      </w:pPr>
    </w:p>
    <w:p w14:paraId="4321A50F">
      <w:pPr>
        <w:adjustRightInd w:val="0"/>
        <w:snapToGrid w:val="0"/>
        <w:spacing w:after="0" w:line="580" w:lineRule="exact"/>
        <w:ind w:firstLine="640" w:firstLineChars="200"/>
        <w:rPr>
          <w:rFonts w:ascii="仿宋_GB2312" w:eastAsia="仿宋_GB2312" w:cs="DengXian-Regular"/>
          <w:sz w:val="32"/>
          <w:szCs w:val="32"/>
        </w:rPr>
      </w:pPr>
    </w:p>
    <w:p w14:paraId="3AFA9001">
      <w:pPr>
        <w:adjustRightInd w:val="0"/>
        <w:snapToGrid w:val="0"/>
        <w:spacing w:after="0" w:line="580" w:lineRule="exact"/>
        <w:ind w:firstLine="640" w:firstLineChars="200"/>
        <w:rPr>
          <w:rFonts w:ascii="仿宋_GB2312" w:eastAsia="仿宋_GB2312" w:cs="DengXian-Regular"/>
          <w:sz w:val="32"/>
          <w:szCs w:val="32"/>
        </w:rPr>
      </w:pPr>
    </w:p>
    <w:p w14:paraId="2FB504D8">
      <w:pPr>
        <w:adjustRightInd w:val="0"/>
        <w:snapToGrid w:val="0"/>
        <w:spacing w:after="0" w:line="580" w:lineRule="exact"/>
        <w:ind w:firstLine="640" w:firstLineChars="200"/>
        <w:rPr>
          <w:rFonts w:ascii="仿宋_GB2312" w:eastAsia="仿宋_GB2312" w:cs="DengXian-Regular"/>
          <w:sz w:val="32"/>
          <w:szCs w:val="32"/>
        </w:rPr>
      </w:pPr>
    </w:p>
    <w:p w14:paraId="1F5B30D6">
      <w:pPr>
        <w:adjustRightInd w:val="0"/>
        <w:snapToGrid w:val="0"/>
        <w:spacing w:after="0" w:line="580" w:lineRule="exact"/>
        <w:ind w:firstLine="640" w:firstLineChars="200"/>
        <w:rPr>
          <w:rFonts w:ascii="仿宋_GB2312" w:eastAsia="仿宋_GB2312" w:cs="DengXian-Regular"/>
          <w:sz w:val="32"/>
          <w:szCs w:val="32"/>
        </w:rPr>
      </w:pPr>
    </w:p>
    <w:p w14:paraId="124DEF2D">
      <w:pPr>
        <w:adjustRightInd w:val="0"/>
        <w:snapToGrid w:val="0"/>
        <w:spacing w:after="0" w:line="580" w:lineRule="exact"/>
        <w:ind w:firstLine="640" w:firstLineChars="200"/>
        <w:rPr>
          <w:rFonts w:ascii="仿宋_GB2312" w:eastAsia="仿宋_GB2312" w:cs="DengXian-Regular"/>
          <w:sz w:val="32"/>
          <w:szCs w:val="32"/>
        </w:rPr>
      </w:pPr>
    </w:p>
    <w:p w14:paraId="7AA4BEB5">
      <w:pPr>
        <w:adjustRightInd w:val="0"/>
        <w:snapToGrid w:val="0"/>
        <w:spacing w:after="0" w:line="580" w:lineRule="exact"/>
        <w:ind w:firstLine="640" w:firstLineChars="200"/>
        <w:rPr>
          <w:rFonts w:ascii="仿宋_GB2312" w:eastAsia="仿宋_GB2312" w:cs="DengXian-Regular"/>
          <w:sz w:val="32"/>
          <w:szCs w:val="32"/>
        </w:rPr>
      </w:pPr>
    </w:p>
    <w:p w14:paraId="5F9F4B5F">
      <w:pPr>
        <w:adjustRightInd w:val="0"/>
        <w:snapToGrid w:val="0"/>
        <w:spacing w:after="0" w:line="580" w:lineRule="exact"/>
        <w:ind w:firstLine="640" w:firstLineChars="200"/>
        <w:rPr>
          <w:rFonts w:ascii="仿宋_GB2312" w:eastAsia="仿宋_GB2312" w:cs="DengXian-Regular"/>
          <w:sz w:val="32"/>
          <w:szCs w:val="32"/>
        </w:rPr>
      </w:pPr>
    </w:p>
    <w:p w14:paraId="7FF28532">
      <w:pPr>
        <w:adjustRightInd w:val="0"/>
        <w:snapToGrid w:val="0"/>
        <w:spacing w:after="0" w:line="580" w:lineRule="exact"/>
        <w:ind w:firstLine="640" w:firstLineChars="200"/>
        <w:rPr>
          <w:rFonts w:ascii="仿宋_GB2312" w:eastAsia="仿宋_GB2312" w:cs="DengXian-Regular"/>
          <w:sz w:val="32"/>
          <w:szCs w:val="32"/>
        </w:rPr>
      </w:pPr>
    </w:p>
    <w:p w14:paraId="294A78B0">
      <w:pPr>
        <w:adjustRightInd w:val="0"/>
        <w:snapToGrid w:val="0"/>
        <w:spacing w:after="0" w:line="580" w:lineRule="exact"/>
        <w:ind w:firstLine="640" w:firstLineChars="200"/>
        <w:jc w:val="center"/>
        <w:rPr>
          <w:rFonts w:ascii="仿宋_GB2312" w:eastAsia="仿宋_GB2312" w:cs="DengXian-Regular"/>
          <w:sz w:val="32"/>
          <w:szCs w:val="32"/>
        </w:rPr>
      </w:pPr>
      <w:r>
        <w:rPr>
          <w:rFonts w:hint="eastAsia" w:ascii="仿宋_GB2312" w:eastAsia="仿宋_GB2312" w:cs="DengXian-Regular"/>
          <w:sz w:val="32"/>
          <w:szCs w:val="32"/>
        </w:rPr>
        <w:t>图三：2017年-2018年收支对比图</w:t>
      </w:r>
    </w:p>
    <w:p w14:paraId="32888B2A">
      <w:pPr>
        <w:adjustRightInd w:val="0"/>
        <w:snapToGrid w:val="0"/>
        <w:spacing w:after="0" w:line="580" w:lineRule="exact"/>
        <w:ind w:firstLine="640" w:firstLineChars="200"/>
        <w:rPr>
          <w:rFonts w:ascii="仿宋_GB2312" w:eastAsia="仿宋_GB2312" w:cs="DengXian-Regular"/>
          <w:sz w:val="32"/>
          <w:szCs w:val="32"/>
        </w:rPr>
      </w:pPr>
    </w:p>
    <w:p w14:paraId="645AB123">
      <w:pPr>
        <w:adjustRightInd w:val="0"/>
        <w:snapToGrid w:val="0"/>
        <w:spacing w:after="0" w:line="580" w:lineRule="exact"/>
        <w:ind w:firstLine="420" w:firstLineChars="200"/>
        <w:rPr>
          <w:rFonts w:ascii="仿宋_GB2312" w:eastAsia="仿宋_GB2312" w:cs="DengXian-Bold"/>
          <w:b/>
          <w:bCs/>
          <w:sz w:val="32"/>
          <w:szCs w:val="32"/>
        </w:rPr>
      </w:pPr>
      <w:r>
        <w:pict>
          <v:group id="_x0000_s1064" o:spid="_x0000_s1064" o:spt="203" style="position:absolute;left:0pt;margin-left:51.25pt;margin-top:13.45pt;height:210.05pt;width:331.1pt;z-index:-251624448;mso-width-relative:page;mso-height-relative:page;" coordorigin="61,1999" coordsize="63,40482"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top:1999;height:33;width:57;"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65" o:spid="_x0000_s1065" o:spt="202" type="#_x0000_t202" style="position:absolute;left:61;top:2031;height:9;width:63;"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14:paraId="74D7B2D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2031FF41">
                    <w:pPr>
                      <w:rPr>
                        <w:sz w:val="20"/>
                        <w:szCs w:val="22"/>
                      </w:rPr>
                    </w:pPr>
                  </w:p>
                </w:txbxContent>
              </v:textbox>
            </v:shape>
          </v:group>
        </w:pict>
      </w:r>
      <w:r>
        <w:rPr>
          <w:rFonts w:hint="eastAsia" w:ascii="楷体_GB2312" w:eastAsia="楷体_GB2312" w:cs="DengXian-Bold"/>
          <w:b/>
          <w:bCs/>
          <w:sz w:val="32"/>
          <w:szCs w:val="32"/>
        </w:rPr>
        <w:t>（二）财政拨款收支与年初预算数对比情况</w:t>
      </w:r>
    </w:p>
    <w:p w14:paraId="114B879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本部门2018年度一般公共预算财政拨款收入285</w:t>
      </w:r>
      <w:r>
        <w:rPr>
          <w:rFonts w:hint="eastAsia" w:ascii="宋体" w:hAnsi="宋体" w:cs="宋体"/>
          <w:sz w:val="32"/>
          <w:szCs w:val="32"/>
        </w:rPr>
        <w:t>9</w:t>
      </w:r>
      <w:r>
        <w:rPr>
          <w:rFonts w:hint="eastAsia" w:ascii="仿宋_GB2312" w:eastAsia="仿宋_GB2312" w:cs="DengXian-Regular"/>
          <w:sz w:val="32"/>
          <w:szCs w:val="32"/>
        </w:rPr>
        <w:t>.28万元，完成年初预算的84.68%,比年初预算减少517.36万元，决算数小于预算数主要原因是人员经费减少；本年支出2868.76万元，完成年初预算的84.</w:t>
      </w:r>
      <w:r>
        <w:rPr>
          <w:rFonts w:hint="eastAsia" w:ascii="宋体" w:hAnsi="宋体" w:cs="宋体"/>
          <w:sz w:val="32"/>
          <w:szCs w:val="32"/>
        </w:rPr>
        <w:t>9</w:t>
      </w:r>
      <w:r>
        <w:rPr>
          <w:rFonts w:hint="eastAsia" w:ascii="仿宋_GB2312" w:eastAsia="仿宋_GB2312" w:cs="DengXian-Regular"/>
          <w:sz w:val="32"/>
          <w:szCs w:val="32"/>
        </w:rPr>
        <w:t>6%,比年初预算减少507.88万元，决算数小</w:t>
      </w:r>
      <w:r>
        <w:rPr>
          <w:sz w:val="44"/>
        </w:rPr>
        <w:pict>
          <v:group id="_x0000_s1061" o:spid="_x0000_s1061" o:spt="203" style="position:absolute;left:0pt;margin-left:-0.55pt;margin-top:29.3pt;height:43.95pt;width:301.85pt;mso-position-horizontal-relative:page;mso-position-vertical-relative:page;z-index:251681792;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063" o:spt="1" style="position:absolute;left:45;top:526;height:11;width:85;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top:528;height:12;width:8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14:paraId="0331786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DEE441C">
                    <w:pPr>
                      <w:jc w:val="center"/>
                    </w:pPr>
                  </w:p>
                </w:txbxContent>
              </v:textbox>
            </v:rect>
            <w10:anchorlock/>
          </v:group>
        </w:pict>
      </w:r>
      <w:r>
        <w:rPr>
          <w:rFonts w:hint="eastAsia" w:ascii="仿宋_GB2312" w:eastAsia="仿宋_GB2312" w:cs="DengXian-Regular"/>
          <w:sz w:val="32"/>
          <w:szCs w:val="32"/>
        </w:rPr>
        <w:t>于预算数主要原因是人员经费减少。</w:t>
      </w:r>
    </w:p>
    <w:p w14:paraId="70A123C0">
      <w:pPr>
        <w:adjustRightInd w:val="0"/>
        <w:snapToGrid w:val="0"/>
        <w:spacing w:after="0" w:line="580" w:lineRule="exact"/>
        <w:ind w:firstLine="640" w:firstLineChars="200"/>
        <w:rPr>
          <w:rFonts w:ascii="仿宋_GB2312" w:eastAsia="仿宋_GB2312" w:cs="DengXian-Regular"/>
          <w:sz w:val="32"/>
          <w:szCs w:val="32"/>
        </w:rPr>
      </w:pPr>
    </w:p>
    <w:p w14:paraId="41B25A14">
      <w:pPr>
        <w:adjustRightInd w:val="0"/>
        <w:snapToGrid w:val="0"/>
        <w:spacing w:after="0" w:line="580" w:lineRule="exact"/>
        <w:ind w:firstLine="640" w:firstLineChars="200"/>
        <w:rPr>
          <w:rFonts w:ascii="仿宋_GB2312" w:eastAsia="仿宋_GB2312" w:cs="DengXian-Regular"/>
          <w:sz w:val="32"/>
          <w:szCs w:val="32"/>
        </w:rPr>
      </w:pPr>
    </w:p>
    <w:p w14:paraId="282975A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9504" behindDoc="0" locked="0" layoutInCell="1" allowOverlap="1">
            <wp:simplePos x="0" y="0"/>
            <wp:positionH relativeFrom="column">
              <wp:posOffset>777240</wp:posOffset>
            </wp:positionH>
            <wp:positionV relativeFrom="paragraph">
              <wp:posOffset>234315</wp:posOffset>
            </wp:positionV>
            <wp:extent cx="3994150" cy="3714750"/>
            <wp:effectExtent l="4445" t="4445" r="20955" b="14605"/>
            <wp:wrapSquare wrapText="bothSides"/>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4D832B9D">
      <w:pPr>
        <w:adjustRightInd w:val="0"/>
        <w:snapToGrid w:val="0"/>
        <w:spacing w:after="0" w:line="580" w:lineRule="exact"/>
        <w:ind w:firstLine="640" w:firstLineChars="200"/>
        <w:rPr>
          <w:rFonts w:ascii="仿宋_GB2312" w:eastAsia="仿宋_GB2312" w:cs="DengXian-Regular"/>
          <w:sz w:val="32"/>
          <w:szCs w:val="32"/>
        </w:rPr>
      </w:pPr>
    </w:p>
    <w:p w14:paraId="76B9309D">
      <w:pPr>
        <w:adjustRightInd w:val="0"/>
        <w:snapToGrid w:val="0"/>
        <w:spacing w:after="0" w:line="580" w:lineRule="exact"/>
        <w:ind w:firstLine="640" w:firstLineChars="200"/>
        <w:rPr>
          <w:rFonts w:ascii="仿宋_GB2312" w:eastAsia="仿宋_GB2312" w:cs="DengXian-Regular"/>
          <w:sz w:val="32"/>
          <w:szCs w:val="32"/>
        </w:rPr>
      </w:pPr>
    </w:p>
    <w:p w14:paraId="4FF22951">
      <w:pPr>
        <w:adjustRightInd w:val="0"/>
        <w:snapToGrid w:val="0"/>
        <w:spacing w:after="0" w:line="580" w:lineRule="exact"/>
        <w:ind w:firstLine="640" w:firstLineChars="200"/>
        <w:rPr>
          <w:rFonts w:ascii="仿宋_GB2312" w:eastAsia="仿宋_GB2312" w:cs="DengXian-Regular"/>
          <w:sz w:val="32"/>
          <w:szCs w:val="32"/>
          <w:highlight w:val="yellow"/>
        </w:rPr>
      </w:pPr>
    </w:p>
    <w:p w14:paraId="4AE3B736">
      <w:pPr>
        <w:adjustRightInd w:val="0"/>
        <w:snapToGrid w:val="0"/>
        <w:spacing w:after="0" w:line="580" w:lineRule="exact"/>
        <w:ind w:firstLine="640" w:firstLineChars="200"/>
        <w:rPr>
          <w:rFonts w:ascii="仿宋_GB2312" w:eastAsia="仿宋_GB2312" w:cs="DengXian-Regular"/>
          <w:sz w:val="32"/>
          <w:szCs w:val="32"/>
          <w:highlight w:val="yellow"/>
        </w:rPr>
      </w:pPr>
    </w:p>
    <w:p w14:paraId="48FEF354">
      <w:pPr>
        <w:adjustRightInd w:val="0"/>
        <w:snapToGrid w:val="0"/>
        <w:spacing w:after="0" w:line="580" w:lineRule="exact"/>
        <w:ind w:firstLine="640" w:firstLineChars="200"/>
        <w:rPr>
          <w:rFonts w:ascii="仿宋_GB2312" w:eastAsia="仿宋_GB2312" w:cs="DengXian-Regular"/>
          <w:sz w:val="32"/>
          <w:szCs w:val="32"/>
          <w:highlight w:val="yellow"/>
        </w:rPr>
      </w:pPr>
    </w:p>
    <w:p w14:paraId="3606AFF7">
      <w:pPr>
        <w:adjustRightInd w:val="0"/>
        <w:snapToGrid w:val="0"/>
        <w:spacing w:after="0" w:line="580" w:lineRule="exact"/>
        <w:ind w:firstLine="640" w:firstLineChars="200"/>
        <w:rPr>
          <w:rFonts w:ascii="仿宋_GB2312" w:eastAsia="仿宋_GB2312" w:cs="DengXian-Regular"/>
          <w:sz w:val="32"/>
          <w:szCs w:val="32"/>
          <w:highlight w:val="yellow"/>
        </w:rPr>
      </w:pPr>
    </w:p>
    <w:p w14:paraId="544724AA">
      <w:pPr>
        <w:adjustRightInd w:val="0"/>
        <w:snapToGrid w:val="0"/>
        <w:spacing w:after="0" w:line="580" w:lineRule="exact"/>
        <w:ind w:firstLine="640" w:firstLineChars="200"/>
        <w:rPr>
          <w:rFonts w:ascii="仿宋_GB2312" w:eastAsia="仿宋_GB2312" w:cs="DengXian-Regular"/>
          <w:sz w:val="32"/>
          <w:szCs w:val="32"/>
          <w:highlight w:val="yellow"/>
        </w:rPr>
      </w:pPr>
    </w:p>
    <w:p w14:paraId="075CE22D">
      <w:pPr>
        <w:adjustRightInd w:val="0"/>
        <w:snapToGrid w:val="0"/>
        <w:spacing w:after="0" w:line="580" w:lineRule="exact"/>
        <w:ind w:firstLine="640" w:firstLineChars="200"/>
        <w:rPr>
          <w:rFonts w:ascii="仿宋_GB2312" w:eastAsia="仿宋_GB2312" w:cs="DengXian-Regular"/>
          <w:sz w:val="32"/>
          <w:szCs w:val="32"/>
          <w:highlight w:val="yellow"/>
        </w:rPr>
      </w:pPr>
    </w:p>
    <w:p w14:paraId="7F6A0746">
      <w:pPr>
        <w:adjustRightInd w:val="0"/>
        <w:snapToGrid w:val="0"/>
        <w:spacing w:after="0" w:line="580" w:lineRule="exact"/>
        <w:ind w:firstLine="640" w:firstLineChars="200"/>
        <w:rPr>
          <w:rFonts w:ascii="仿宋_GB2312" w:eastAsia="仿宋_GB2312" w:cs="DengXian-Regular"/>
          <w:sz w:val="32"/>
          <w:szCs w:val="32"/>
          <w:highlight w:val="yellow"/>
        </w:rPr>
      </w:pPr>
    </w:p>
    <w:p w14:paraId="66794AFB">
      <w:pPr>
        <w:adjustRightInd w:val="0"/>
        <w:snapToGrid w:val="0"/>
        <w:spacing w:after="0" w:line="580" w:lineRule="exact"/>
        <w:ind w:firstLine="640" w:firstLineChars="200"/>
        <w:rPr>
          <w:rFonts w:ascii="仿宋_GB2312" w:eastAsia="仿宋_GB2312" w:cs="DengXian-Regular"/>
          <w:sz w:val="32"/>
          <w:szCs w:val="32"/>
        </w:rPr>
      </w:pPr>
    </w:p>
    <w:p w14:paraId="1C60E6AF">
      <w:pPr>
        <w:adjustRightInd w:val="0"/>
        <w:snapToGrid w:val="0"/>
        <w:spacing w:after="0" w:line="580" w:lineRule="exact"/>
        <w:ind w:firstLine="420" w:firstLineChars="200"/>
        <w:jc w:val="center"/>
        <w:rPr>
          <w:rFonts w:ascii="仿宋_GB2312" w:eastAsia="仿宋_GB2312" w:cs="DengXian-Regular"/>
          <w:sz w:val="32"/>
          <w:szCs w:val="32"/>
        </w:rPr>
      </w:pPr>
      <w:r>
        <w:pict>
          <v:group id="_x0000_s1058" o:spid="_x0000_s1058" o:spt="203" style="position:absolute;left:0pt;margin-left:45.95pt;margin-top:0.4pt;height:208.2pt;width:343.1pt;z-index:-251623424;mso-width-relative:page;mso-height-relative:page;" coordorigin="52,2257" coordsize="63,38502"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top:2257;height:33;width:59;"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4" o:title=""/>
              <o:lock v:ext="edit" aspectratio="t"/>
            </v:shape>
            <v:shape id="文本框 28" o:spid="_x0000_s1059" o:spt="202" type="#_x0000_t202" style="position:absolute;left:52;top:2288;height:7;width:63;"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14:paraId="09976C2C">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28FC32ED">
                    <w:pPr>
                      <w:rPr>
                        <w:sz w:val="18"/>
                        <w:szCs w:val="21"/>
                      </w:rPr>
                    </w:pPr>
                  </w:p>
                </w:txbxContent>
              </v:textbox>
            </v:shape>
          </v:group>
        </w:pict>
      </w:r>
      <w:r>
        <w:rPr>
          <w:rFonts w:hint="eastAsia" w:ascii="仿宋_GB2312" w:eastAsia="仿宋_GB2312" w:cs="DengXian-Regular"/>
          <w:sz w:val="32"/>
          <w:szCs w:val="32"/>
        </w:rPr>
        <w:t>图四：2018年预算与决算对比图</w:t>
      </w:r>
    </w:p>
    <w:p w14:paraId="59FEC0B0">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7E3ECD1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年度财政拨款支出2868.76万元，主要用于以下方面一般公共服务（类）支出0万元；公共安全类（类）支出2868.76万元，占100%；教育（类）支出0万元，占0%；科学技术（类）支出0万元，占 0%；社会保障和就业（类）支出0万元，占0%；住房保障（类）支出0万元，占0%。</w:t>
      </w:r>
    </w:p>
    <w:p w14:paraId="0B697A84">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67456" behindDoc="0" locked="0" layoutInCell="1" allowOverlap="1">
            <wp:simplePos x="0" y="0"/>
            <wp:positionH relativeFrom="column">
              <wp:posOffset>1090930</wp:posOffset>
            </wp:positionH>
            <wp:positionV relativeFrom="paragraph">
              <wp:posOffset>235585</wp:posOffset>
            </wp:positionV>
            <wp:extent cx="3632835" cy="3181350"/>
            <wp:effectExtent l="5080" t="4445" r="19685" b="14605"/>
            <wp:wrapSquare wrapText="bothSides"/>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pict>
          <v:group id="_x0000_s1055" o:spid="_x0000_s1055" o:spt="203" style="position:absolute;left:0pt;margin-left:86.35pt;margin-top:15.9pt;height:195.05pt;width:296.35pt;z-index:-251625472;mso-width-relative:page;mso-height-relative:page;" coordorigin="69,1802" coordsize="53,38862"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56" o:spid="_x0000_s1056" o:spt="202" type="#_x0000_t202" style="position:absolute;left:69;top:1831;height:10;width:53;"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14:paraId="0212932E">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046C8D05">
                    <w:pPr>
                      <w:rPr>
                        <w:sz w:val="20"/>
                        <w:szCs w:val="22"/>
                      </w:rPr>
                    </w:pPr>
                  </w:p>
                </w:txbxContent>
              </v:textbox>
            </v:shape>
          </v:group>
        </w:pict>
      </w:r>
    </w:p>
    <w:p w14:paraId="44016F1B">
      <w:pPr>
        <w:adjustRightInd w:val="0"/>
        <w:snapToGrid w:val="0"/>
        <w:spacing w:after="0" w:line="580" w:lineRule="exact"/>
        <w:rPr>
          <w:rFonts w:ascii="楷体_GB2312" w:eastAsia="楷体_GB2312" w:cs="DengXian-Bold"/>
          <w:b/>
          <w:bCs/>
          <w:sz w:val="32"/>
          <w:szCs w:val="32"/>
        </w:rPr>
      </w:pPr>
    </w:p>
    <w:p w14:paraId="7FB0C898">
      <w:pPr>
        <w:adjustRightInd w:val="0"/>
        <w:snapToGrid w:val="0"/>
        <w:spacing w:after="0" w:line="580" w:lineRule="exact"/>
        <w:rPr>
          <w:rFonts w:ascii="楷体_GB2312" w:eastAsia="楷体_GB2312" w:cs="DengXian-Bold"/>
          <w:b/>
          <w:bCs/>
          <w:sz w:val="32"/>
          <w:szCs w:val="32"/>
        </w:rPr>
      </w:pPr>
    </w:p>
    <w:p w14:paraId="79809DED">
      <w:pPr>
        <w:adjustRightInd w:val="0"/>
        <w:snapToGrid w:val="0"/>
        <w:spacing w:after="0" w:line="580" w:lineRule="exact"/>
        <w:rPr>
          <w:rFonts w:ascii="楷体_GB2312" w:eastAsia="楷体_GB2312" w:cs="DengXian-Bold"/>
          <w:b/>
          <w:bCs/>
          <w:sz w:val="32"/>
          <w:szCs w:val="32"/>
        </w:rPr>
      </w:pPr>
    </w:p>
    <w:p w14:paraId="5AD632DE">
      <w:pPr>
        <w:adjustRightInd w:val="0"/>
        <w:snapToGrid w:val="0"/>
        <w:spacing w:after="0" w:line="580" w:lineRule="exact"/>
        <w:ind w:left="420" w:leftChars="200"/>
        <w:rPr>
          <w:rFonts w:ascii="楷体_GB2312" w:eastAsia="楷体_GB2312" w:cs="DengXian-Bold"/>
          <w:b/>
          <w:bCs/>
          <w:sz w:val="32"/>
          <w:szCs w:val="32"/>
        </w:rPr>
      </w:pPr>
    </w:p>
    <w:p w14:paraId="4003C60F">
      <w:pPr>
        <w:adjustRightInd w:val="0"/>
        <w:snapToGrid w:val="0"/>
        <w:spacing w:after="0" w:line="580" w:lineRule="exact"/>
        <w:ind w:left="420" w:leftChars="200"/>
        <w:rPr>
          <w:rFonts w:ascii="楷体_GB2312" w:eastAsia="楷体_GB2312" w:cs="DengXian-Bold"/>
          <w:b/>
          <w:bCs/>
          <w:sz w:val="32"/>
          <w:szCs w:val="32"/>
        </w:rPr>
      </w:pPr>
    </w:p>
    <w:p w14:paraId="4BDAA33A">
      <w:pPr>
        <w:adjustRightInd w:val="0"/>
        <w:snapToGrid w:val="0"/>
        <w:spacing w:after="0" w:line="580" w:lineRule="exact"/>
        <w:ind w:left="420" w:leftChars="200"/>
        <w:rPr>
          <w:rFonts w:ascii="楷体_GB2312" w:eastAsia="楷体_GB2312" w:cs="DengXian-Bold"/>
          <w:b/>
          <w:bCs/>
          <w:sz w:val="32"/>
          <w:szCs w:val="32"/>
        </w:rPr>
      </w:pPr>
    </w:p>
    <w:p w14:paraId="036FDDBC">
      <w:pPr>
        <w:adjustRightInd w:val="0"/>
        <w:snapToGrid w:val="0"/>
        <w:spacing w:after="0" w:line="580" w:lineRule="exact"/>
        <w:ind w:left="420" w:leftChars="200"/>
        <w:rPr>
          <w:rFonts w:ascii="楷体_GB2312" w:eastAsia="楷体_GB2312" w:cs="DengXian-Bold"/>
          <w:b/>
          <w:bCs/>
          <w:sz w:val="32"/>
          <w:szCs w:val="32"/>
        </w:rPr>
      </w:pPr>
    </w:p>
    <w:p w14:paraId="1337EEF1">
      <w:pPr>
        <w:adjustRightInd w:val="0"/>
        <w:snapToGrid w:val="0"/>
        <w:spacing w:after="0" w:line="580" w:lineRule="exact"/>
        <w:ind w:left="420" w:leftChars="200"/>
        <w:rPr>
          <w:rFonts w:ascii="楷体_GB2312" w:eastAsia="楷体_GB2312" w:cs="DengXian-Bold"/>
          <w:b/>
          <w:bCs/>
          <w:sz w:val="32"/>
          <w:szCs w:val="32"/>
        </w:rPr>
      </w:pPr>
    </w:p>
    <w:p w14:paraId="2B87DA42">
      <w:pPr>
        <w:adjustRightInd w:val="0"/>
        <w:snapToGrid w:val="0"/>
        <w:spacing w:after="0" w:line="580" w:lineRule="exact"/>
        <w:ind w:left="420" w:leftChars="200"/>
        <w:rPr>
          <w:rFonts w:ascii="楷体_GB2312" w:eastAsia="楷体_GB2312" w:cs="DengXian-Bold"/>
          <w:b/>
          <w:bCs/>
          <w:sz w:val="32"/>
          <w:szCs w:val="32"/>
        </w:rPr>
      </w:pPr>
    </w:p>
    <w:p w14:paraId="1FAE78FD">
      <w:pPr>
        <w:adjustRightInd w:val="0"/>
        <w:snapToGrid w:val="0"/>
        <w:spacing w:after="0" w:line="580" w:lineRule="exact"/>
        <w:ind w:left="420" w:leftChars="200"/>
        <w:jc w:val="center"/>
        <w:rPr>
          <w:rFonts w:ascii="楷体_GB2312" w:eastAsia="楷体_GB2312" w:cs="DengXian-Bold"/>
          <w:b/>
          <w:bCs/>
          <w:sz w:val="32"/>
          <w:szCs w:val="32"/>
        </w:rPr>
      </w:pPr>
      <w:r>
        <w:rPr>
          <w:rFonts w:hint="eastAsia" w:ascii="楷体_GB2312" w:eastAsia="楷体_GB2312" w:cs="DengXian-Bold"/>
          <w:b/>
          <w:bCs/>
          <w:sz w:val="32"/>
          <w:szCs w:val="32"/>
        </w:rPr>
        <w:t>图五：2018年财政拨款支出构成图</w:t>
      </w:r>
    </w:p>
    <w:p w14:paraId="3746D307">
      <w:pPr>
        <w:adjustRightInd w:val="0"/>
        <w:snapToGrid w:val="0"/>
        <w:spacing w:after="0" w:line="580" w:lineRule="exact"/>
        <w:ind w:left="420" w:leftChars="200"/>
        <w:rPr>
          <w:rFonts w:ascii="楷体_GB2312" w:eastAsia="楷体_GB2312" w:cs="DengXian-Bold"/>
          <w:b/>
          <w:bCs/>
          <w:sz w:val="32"/>
          <w:szCs w:val="32"/>
        </w:rPr>
      </w:pPr>
    </w:p>
    <w:p w14:paraId="111FC962">
      <w:pPr>
        <w:numPr>
          <w:ilvl w:val="0"/>
          <w:numId w:val="1"/>
        </w:num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82816;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top:526;height:11;width:85;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top:528;height:12;width:8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481B22A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073FC7E4">
                    <w:pPr>
                      <w:jc w:val="center"/>
                    </w:pPr>
                  </w:p>
                </w:txbxContent>
              </v:textbox>
            </v:rect>
            <w10:anchorlock/>
          </v:group>
        </w:pict>
      </w:r>
      <w:r>
        <w:rPr>
          <w:rFonts w:hint="eastAsia" w:ascii="楷体_GB2312" w:eastAsia="楷体_GB2312" w:cs="DengXian-Bold"/>
          <w:b/>
          <w:bCs/>
          <w:sz w:val="32"/>
          <w:szCs w:val="32"/>
        </w:rPr>
        <w:t>一般公共预算财政拨款基本支出决算情况说明</w:t>
      </w:r>
    </w:p>
    <w:p w14:paraId="2C43C161">
      <w:pPr>
        <w:adjustRightInd w:val="0"/>
        <w:snapToGrid w:val="0"/>
        <w:spacing w:after="0" w:line="580" w:lineRule="exact"/>
        <w:ind w:firstLine="880" w:firstLineChars="200"/>
        <w:rPr>
          <w:rFonts w:ascii="仿宋_GB2312" w:eastAsia="仿宋_GB2312" w:cs="DengXian-Regular"/>
          <w:sz w:val="32"/>
          <w:szCs w:val="32"/>
        </w:rPr>
      </w:pPr>
      <w:r>
        <w:rPr>
          <w:sz w:val="44"/>
        </w:rPr>
        <w:pict>
          <v:group id="_x0000_s1049" o:spid="_x0000_s1049" o:spt="203" style="position:absolute;left:0pt;margin-left:-0.55pt;margin-top:29.3pt;height:43.95pt;width:301.85pt;mso-position-horizontal-relative:page;mso-position-vertical-relative:page;z-index:251689984;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top:526;height:11;width:85;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top:528;height:12;width:8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072D778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0BD8464">
                    <w:pPr>
                      <w:jc w:val="center"/>
                    </w:pPr>
                  </w:p>
                </w:txbxContent>
              </v:textbox>
            </v:rect>
            <w10:anchorlock/>
          </v:group>
        </w:pict>
      </w:r>
      <w:r>
        <w:rPr>
          <w:rFonts w:hint="eastAsia" w:ascii="仿宋_GB2312" w:eastAsia="仿宋_GB2312" w:cs="DengXian-Regular"/>
          <w:sz w:val="32"/>
          <w:szCs w:val="32"/>
        </w:rPr>
        <w:t>2018 年度一般公共预算财政拨款基本支出1888.</w:t>
      </w:r>
      <w:r>
        <w:rPr>
          <w:rFonts w:hint="eastAsia" w:ascii="宋体" w:hAnsi="宋体" w:cs="宋体"/>
          <w:sz w:val="32"/>
          <w:szCs w:val="32"/>
        </w:rPr>
        <w:t>9</w:t>
      </w:r>
      <w:r>
        <w:rPr>
          <w:rFonts w:hint="eastAsia" w:ascii="仿宋_GB2312" w:eastAsia="仿宋_GB2312" w:cs="DengXian-Regular"/>
          <w:sz w:val="32"/>
          <w:szCs w:val="32"/>
        </w:rPr>
        <w:t>8万元，其中：人员经费1707.83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181.14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6663E31">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636C3AD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“三公”经费支出共计44万元，较年初预算持平</w:t>
      </w:r>
      <w:r>
        <w:rPr>
          <w:rFonts w:hint="eastAsia" w:ascii="仿宋_GB2312" w:cs="DengXian-Regular" w:eastAsiaTheme="minorEastAsia"/>
          <w:sz w:val="32"/>
          <w:szCs w:val="32"/>
        </w:rPr>
        <w:t>，</w:t>
      </w:r>
      <w:r>
        <w:rPr>
          <w:rFonts w:hint="eastAsia" w:ascii="仿宋_GB2312" w:eastAsia="仿宋_GB2312" w:cs="DengXian-Regular"/>
          <w:sz w:val="32"/>
          <w:szCs w:val="32"/>
        </w:rPr>
        <w:t>主要是认真贯彻落实中央八项规定精神和厉行节约要求，从严控制“三公”经费</w:t>
      </w:r>
      <w:bookmarkStart w:id="0" w:name="_GoBack"/>
      <w:bookmarkEnd w:id="0"/>
      <w:r>
        <w:rPr>
          <w:rFonts w:hint="eastAsia" w:ascii="仿宋_GB2312" w:eastAsia="仿宋_GB2312" w:cs="DengXian-Regular"/>
          <w:sz w:val="32"/>
          <w:szCs w:val="32"/>
        </w:rPr>
        <w:t>开支，全年实际支出比预算有所节约。具体情况如下：</w:t>
      </w:r>
    </w:p>
    <w:p w14:paraId="60C3A452">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83840;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top:526;height:11;width:85;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top:528;height:12;width:8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022FCFB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BF02054">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本部门2018年度因公出国（境）团组0个、共0人/参加其他单位组织的因公出国（境）团组0个、共0人/无本单位组织的出国（境）团组。因公出国（境）费支出较年初预算增加（减少）0万元，增长（降低）0%。</w:t>
      </w:r>
    </w:p>
    <w:p w14:paraId="6A4E94D7">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44</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本部门2018年度公务用车购置及运行维护费较年初预算持平。</w:t>
      </w:r>
      <w:r>
        <w:rPr>
          <w:rFonts w:hint="eastAsia" w:ascii="仿宋_GB2312" w:eastAsia="仿宋_GB2312" w:cs="DengXian-Bold"/>
          <w:b/>
          <w:bCs/>
          <w:sz w:val="32"/>
          <w:szCs w:val="32"/>
        </w:rPr>
        <w:t>其中：</w:t>
      </w:r>
    </w:p>
    <w:p w14:paraId="0E18F848">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本部门2018年度公务用车购置量0辆，发生“公务用车购置”经费支出0万元。公务用车购置费支出较年初预算持平,主要是未发生‘公务用车购置’经费支出。</w:t>
      </w:r>
    </w:p>
    <w:p w14:paraId="686B30E0">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本部门2018年度单位公务用车保有量20辆。公车运行维护费支出较年初预算持平。</w:t>
      </w:r>
    </w:p>
    <w:p w14:paraId="51F77D62">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3" o:spid="_x0000_s1043" o:spt="203" style="position:absolute;left:0pt;margin-left:-0.55pt;margin-top:29.3pt;height:43.95pt;width:301.85pt;mso-position-horizontal-relative:page;mso-position-vertical-relative:page;z-index:251684864;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top:526;height:11;width:85;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top:528;height:12;width:8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03EBD88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00A3790">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本部门2018年度公务接待共0批次、0人次。公务接待费支出较年初预算持平。</w:t>
      </w:r>
    </w:p>
    <w:p w14:paraId="2D1187F1">
      <w:pPr>
        <w:pStyle w:val="3"/>
        <w:spacing w:before="0" w:after="0" w:line="500" w:lineRule="exact"/>
        <w:ind w:firstLine="643" w:firstLineChars="200"/>
        <w:rPr>
          <w:rFonts w:ascii="黑体" w:eastAsia="黑体" w:cs="Times New Roman"/>
          <w:color w:val="000000" w:themeColor="text1"/>
        </w:rPr>
      </w:pPr>
      <w:r>
        <w:rPr>
          <w:rFonts w:hint="eastAsia" w:ascii="黑体" w:eastAsia="黑体"/>
          <w:szCs w:val="40"/>
        </w:rPr>
        <w:t>六、</w:t>
      </w:r>
      <w:r>
        <w:rPr>
          <w:rFonts w:hint="eastAsia" w:ascii="黑体" w:eastAsia="黑体" w:cs="Times New Roman"/>
          <w:color w:val="000000" w:themeColor="text1"/>
        </w:rPr>
        <w:t>绩效预算情况说明</w:t>
      </w:r>
    </w:p>
    <w:p w14:paraId="3545D42B">
      <w:pPr>
        <w:adjustRightInd w:val="0"/>
        <w:snapToGrid w:val="0"/>
        <w:spacing w:after="0" w:line="500" w:lineRule="exact"/>
        <w:ind w:firstLine="640" w:firstLineChars="200"/>
        <w:rPr>
          <w:rFonts w:ascii="仿宋_GB2312" w:eastAsia="仿宋_GB2312" w:cs="DengXian-Regular"/>
          <w:color w:val="000000" w:themeColor="text1"/>
          <w:sz w:val="32"/>
          <w:szCs w:val="32"/>
        </w:rPr>
      </w:pPr>
      <w:r>
        <w:rPr>
          <w:rFonts w:hint="eastAsia" w:ascii="仿宋_GB2312" w:eastAsia="仿宋_GB2312" w:cs="DengXian-Regular"/>
          <w:color w:val="000000" w:themeColor="text1"/>
          <w:sz w:val="32"/>
          <w:szCs w:val="32"/>
        </w:rPr>
        <w:t>（一）绩效管理工作开展情况。根据《关于开展2018年度财政专项资金部门绩效自评价工作的通知》（石财绩</w:t>
      </w:r>
      <w:r>
        <w:rPr>
          <w:rFonts w:hint="eastAsia" w:ascii="宋体" w:hAnsi="宋体" w:cs="宋体"/>
          <w:color w:val="000000" w:themeColor="text1"/>
          <w:sz w:val="32"/>
          <w:szCs w:val="32"/>
        </w:rPr>
        <w:t>[2019]</w:t>
      </w:r>
      <w:r>
        <w:rPr>
          <w:rFonts w:hint="eastAsia" w:ascii="仿宋_GB2312" w:eastAsia="仿宋_GB2312" w:cs="DengXian-Regular"/>
          <w:color w:val="000000" w:themeColor="text1"/>
          <w:sz w:val="32"/>
          <w:szCs w:val="32"/>
        </w:rPr>
        <w:t>1号），本单位认真开展了预算绩效管理改革开展情况自查，对部门全面规范绩效预算编制、严格预算执行管理、推进绩效评价工作、推进预决算信息公开等方面进行了自评，考核结果为优秀。</w:t>
      </w:r>
    </w:p>
    <w:p w14:paraId="3F40A0A4">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color w:val="000000" w:themeColor="text1"/>
          <w:sz w:val="32"/>
          <w:szCs w:val="32"/>
        </w:rPr>
        <w:t>（二）预算项目绩效评价开展情况。根据预算绩效管理要求，本单位组织对2018年度一般公共预算项目支出全面开展绩效自评，涉及审判管理和执行、案件判决执行、司法技术辅助等11个项目，涉及资金</w:t>
      </w:r>
      <w:r>
        <w:rPr>
          <w:rFonts w:hint="eastAsia" w:ascii="宋体" w:hAnsi="宋体" w:cs="宋体"/>
          <w:color w:val="000000" w:themeColor="text1"/>
          <w:sz w:val="32"/>
          <w:szCs w:val="32"/>
        </w:rPr>
        <w:t>979</w:t>
      </w:r>
      <w:r>
        <w:rPr>
          <w:rFonts w:hint="eastAsia" w:ascii="仿宋_GB2312" w:eastAsia="仿宋_GB2312" w:cs="DengXian-Regular"/>
          <w:color w:val="000000" w:themeColor="text1"/>
          <w:sz w:val="32"/>
          <w:szCs w:val="32"/>
        </w:rPr>
        <w:t>.78万元。从评价情况看，评价结果为优秀的项目有</w:t>
      </w:r>
      <w:r>
        <w:rPr>
          <w:rFonts w:hint="eastAsia" w:ascii="宋体" w:hAnsi="宋体" w:cs="宋体"/>
          <w:color w:val="000000" w:themeColor="text1"/>
          <w:sz w:val="32"/>
          <w:szCs w:val="32"/>
        </w:rPr>
        <w:t>9</w:t>
      </w:r>
      <w:r>
        <w:rPr>
          <w:rFonts w:hint="eastAsia" w:ascii="仿宋_GB2312" w:eastAsia="仿宋_GB2312" w:cs="DengXian-Regular"/>
          <w:color w:val="000000" w:themeColor="text1"/>
          <w:sz w:val="32"/>
          <w:szCs w:val="32"/>
        </w:rPr>
        <w:t>个，良好的项目有2个，一般的项目有0个。</w:t>
      </w:r>
    </w:p>
    <w:p w14:paraId="67F300C9">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10AF5EA4">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本院案件审判管理和执行项目绩效自评：本单位根据年初设定的绩效目标，案件审判管理和执行项目绩效自评结果为优秀，项目全年预算数为的预算数为1205万元，执行数为</w:t>
      </w:r>
      <w:r>
        <w:rPr>
          <w:rFonts w:hint="eastAsia" w:ascii="宋体" w:hAnsi="宋体" w:cs="宋体"/>
          <w:sz w:val="32"/>
          <w:szCs w:val="32"/>
        </w:rPr>
        <w:t>979</w:t>
      </w:r>
      <w:r>
        <w:rPr>
          <w:rFonts w:hint="eastAsia" w:ascii="仿宋_GB2312" w:eastAsia="仿宋_GB2312" w:cs="DengXian-Regular"/>
          <w:sz w:val="32"/>
          <w:szCs w:val="32"/>
        </w:rPr>
        <w:t>.78万元，完成预算的81.3%。主要产出和效果是完成案件收案数的结案率及案件判决结果的执行。</w:t>
      </w:r>
    </w:p>
    <w:p w14:paraId="1DA17788">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3487C24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1BAEFDB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本部门2018年度机关运行经费支出181.14万元，比年初预算数增加11.7</w:t>
      </w:r>
      <w:r>
        <w:rPr>
          <w:rFonts w:hint="eastAsia" w:ascii="宋体" w:hAnsi="宋体" w:cs="宋体"/>
          <w:sz w:val="32"/>
          <w:szCs w:val="32"/>
        </w:rPr>
        <w:t>9</w:t>
      </w:r>
      <w:r>
        <w:rPr>
          <w:rFonts w:hint="eastAsia" w:ascii="仿宋_GB2312" w:eastAsia="仿宋_GB2312" w:cs="DengXian-Regular"/>
          <w:sz w:val="32"/>
          <w:szCs w:val="32"/>
        </w:rPr>
        <w:t>万元，增长6.</w:t>
      </w:r>
      <w:r>
        <w:rPr>
          <w:rFonts w:hint="eastAsia" w:ascii="宋体" w:hAnsi="宋体" w:cs="宋体"/>
          <w:sz w:val="32"/>
          <w:szCs w:val="32"/>
        </w:rPr>
        <w:t>9</w:t>
      </w:r>
      <w:r>
        <w:rPr>
          <w:rFonts w:hint="eastAsia" w:ascii="仿宋_GB2312" w:eastAsia="仿宋_GB2312" w:cs="DengXian-Regular"/>
          <w:sz w:val="32"/>
          <w:szCs w:val="32"/>
        </w:rPr>
        <w:t>6%。主要原因是增加人员办公费用。</w:t>
      </w:r>
    </w:p>
    <w:p w14:paraId="4F38264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622F1DAE">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本部门2018年度政府采购支出总额137.75万元，从采购类型来看，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137.75</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p>
    <w:p w14:paraId="6B477AEF">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2E8F306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20辆，与上年持平。其中，副部（省）级及以上领导用车0辆，主要领导干部用车0辆，机要通信用车0辆，应急保障用车0辆，执法执勤用车16辆，特种专业技术用车4辆，离退休干部用车0辆，其他用车0辆0；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14:paraId="4425A55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2095439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1、本部门2018年度国有资本经营预算财政拨款无收支及结转结余情况，故国有资本经营预算财政拨款表以空表列示。</w:t>
      </w:r>
    </w:p>
    <w:p w14:paraId="64DC0AA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5888;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top:526;height:11;width:85;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top:528;height:12;width:8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2DBC1DC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2B69D2F">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45BE3920">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716BD5C7">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7462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3A7F4D75">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4ADF6349">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14:paraId="3203D53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535D6F9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64A4223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56D1E84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03B8255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32D55B8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18CCE2F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7696;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top:526;height:11;width:85;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top:528;height:12;width:8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6C40858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57DB8A93">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2F049C4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6930CA9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073630A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0706047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49CAF36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6912;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top:526;height:11;width:85;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top:528;height:12;width:8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89203B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90B3663">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14:paraId="59DCDB1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7936;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top:526;height:11;width:85;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top:528;height:12;width:8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1BF43A3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544660CF">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653092E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28DE385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167BBD2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491D34E">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6408FC17">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7D14164-92D8-4C15-A2D5-43F63266C50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0824FDFD-9D90-41B3-818A-96AD58F192ED}"/>
  </w:font>
  <w:font w:name="楷体">
    <w:panose1 w:val="02010609060101010101"/>
    <w:charset w:val="86"/>
    <w:family w:val="modern"/>
    <w:pitch w:val="default"/>
    <w:sig w:usb0="800002BF" w:usb1="38CF7CFA" w:usb2="00000016" w:usb3="00000000" w:csb0="00040001" w:csb1="00000000"/>
    <w:embedRegular r:id="rId3" w:fontKey="{164E141B-8AF0-45E0-8D8C-0972ABD5122B}"/>
  </w:font>
  <w:font w:name="楷体_GB2312">
    <w:altName w:val="楷体"/>
    <w:panose1 w:val="00000000000000000000"/>
    <w:charset w:val="86"/>
    <w:family w:val="modern"/>
    <w:pitch w:val="default"/>
    <w:sig w:usb0="00000000" w:usb1="00000000" w:usb2="00000000" w:usb3="00000000" w:csb0="00000000" w:csb1="00000000"/>
    <w:embedRegular r:id="rId4" w:fontKey="{6E8C3044-E9A8-45D2-A16F-FCFA7348D7C3}"/>
  </w:font>
  <w:font w:name="仿宋_GB2312">
    <w:altName w:val="仿宋"/>
    <w:panose1 w:val="00000000000000000000"/>
    <w:charset w:val="86"/>
    <w:family w:val="modern"/>
    <w:pitch w:val="default"/>
    <w:sig w:usb0="00000000" w:usb1="00000000" w:usb2="00000000" w:usb3="00000000" w:csb0="00000000" w:csb1="00000000"/>
    <w:embedRegular r:id="rId5" w:fontKey="{DBDFF126-0F2D-43EE-B81D-37E3D0346D91}"/>
  </w:font>
  <w:font w:name="ArialUnicodeMS">
    <w:altName w:val="Malgun Gothic"/>
    <w:panose1 w:val="00000000000000000000"/>
    <w:charset w:val="81"/>
    <w:family w:val="auto"/>
    <w:pitch w:val="default"/>
    <w:sig w:usb0="00000000" w:usb1="00000000" w:usb2="00000010" w:usb3="00000000" w:csb0="00080001" w:csb1="00000000"/>
    <w:embedRegular r:id="rId6" w:fontKey="{1A97A881-4522-463A-B881-4869D4C18845}"/>
  </w:font>
  <w:font w:name="仿宋">
    <w:panose1 w:val="02010609060101010101"/>
    <w:charset w:val="86"/>
    <w:family w:val="modern"/>
    <w:pitch w:val="default"/>
    <w:sig w:usb0="800002BF" w:usb1="38CF7CFA" w:usb2="00000016" w:usb3="00000000" w:csb0="00040001" w:csb1="00000000"/>
    <w:embedRegular r:id="rId7" w:fontKey="{CBBB77EA-46AF-47C4-9FE1-DF7700812261}"/>
  </w:font>
  <w:font w:name="MS-UIGothic,Bold">
    <w:altName w:val="Malgun Gothic"/>
    <w:panose1 w:val="00000000000000000000"/>
    <w:charset w:val="81"/>
    <w:family w:val="auto"/>
    <w:pitch w:val="default"/>
    <w:sig w:usb0="00000000" w:usb1="00000000" w:usb2="00000010" w:usb3="00000000" w:csb0="00080000" w:csb1="00000000"/>
    <w:embedRegular r:id="rId8" w:fontKey="{AC43D485-9CC7-4008-BD9E-7B2C84190702}"/>
  </w:font>
  <w:font w:name="DengXian-Regular">
    <w:altName w:val="宋体"/>
    <w:panose1 w:val="00000000000000000000"/>
    <w:charset w:val="86"/>
    <w:family w:val="auto"/>
    <w:pitch w:val="default"/>
    <w:sig w:usb0="00000000" w:usb1="00000000" w:usb2="00000010" w:usb3="00000000" w:csb0="00040001" w:csb1="00000000"/>
    <w:embedRegular r:id="rId9" w:fontKey="{BB8B502E-C682-4B82-8545-F0ECA6F8CAA1}"/>
  </w:font>
  <w:font w:name="DengXian-Bold">
    <w:altName w:val="宋体"/>
    <w:panose1 w:val="00000000000000000000"/>
    <w:charset w:val="86"/>
    <w:family w:val="auto"/>
    <w:pitch w:val="default"/>
    <w:sig w:usb0="00000000" w:usb1="00000000" w:usb2="00000010" w:usb3="00000000" w:csb0="00040001" w:csb1="00000000"/>
    <w:embedRegular r:id="rId10" w:fontKey="{FC702D9D-CEA4-4A3D-BA88-43167D2F3A0D}"/>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003C1413"/>
    <w:rsid w:val="00024E7F"/>
    <w:rsid w:val="00030006"/>
    <w:rsid w:val="000475A0"/>
    <w:rsid w:val="000838C3"/>
    <w:rsid w:val="000B2446"/>
    <w:rsid w:val="000D7C65"/>
    <w:rsid w:val="000E2F81"/>
    <w:rsid w:val="00117946"/>
    <w:rsid w:val="00117E2C"/>
    <w:rsid w:val="00146C47"/>
    <w:rsid w:val="00152FB8"/>
    <w:rsid w:val="001726D7"/>
    <w:rsid w:val="00176658"/>
    <w:rsid w:val="0018239E"/>
    <w:rsid w:val="001B3410"/>
    <w:rsid w:val="001C030D"/>
    <w:rsid w:val="001C4A84"/>
    <w:rsid w:val="001E5902"/>
    <w:rsid w:val="00222AB1"/>
    <w:rsid w:val="00233705"/>
    <w:rsid w:val="00275CA2"/>
    <w:rsid w:val="002A65A5"/>
    <w:rsid w:val="002C04C4"/>
    <w:rsid w:val="002D08B0"/>
    <w:rsid w:val="002D1AE3"/>
    <w:rsid w:val="002D1C21"/>
    <w:rsid w:val="002F2ECE"/>
    <w:rsid w:val="00341C8F"/>
    <w:rsid w:val="0035463A"/>
    <w:rsid w:val="00371103"/>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7480F"/>
    <w:rsid w:val="00685302"/>
    <w:rsid w:val="00695557"/>
    <w:rsid w:val="006D4EA7"/>
    <w:rsid w:val="0070012A"/>
    <w:rsid w:val="0070664B"/>
    <w:rsid w:val="007071B8"/>
    <w:rsid w:val="007414DE"/>
    <w:rsid w:val="007905A9"/>
    <w:rsid w:val="007D781D"/>
    <w:rsid w:val="007E1B9C"/>
    <w:rsid w:val="007E5500"/>
    <w:rsid w:val="007F055B"/>
    <w:rsid w:val="0080644C"/>
    <w:rsid w:val="00811C2F"/>
    <w:rsid w:val="00833D46"/>
    <w:rsid w:val="00840A97"/>
    <w:rsid w:val="008C0149"/>
    <w:rsid w:val="008D5DED"/>
    <w:rsid w:val="008E25CA"/>
    <w:rsid w:val="008F34FC"/>
    <w:rsid w:val="00905622"/>
    <w:rsid w:val="009079F6"/>
    <w:rsid w:val="00944CD7"/>
    <w:rsid w:val="009831B2"/>
    <w:rsid w:val="009A1ABE"/>
    <w:rsid w:val="009E21A4"/>
    <w:rsid w:val="009F22C6"/>
    <w:rsid w:val="009F6B15"/>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CC4C8C"/>
    <w:rsid w:val="00CE0127"/>
    <w:rsid w:val="00D0048E"/>
    <w:rsid w:val="00D01132"/>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4073F84"/>
    <w:rsid w:val="0B60750A"/>
    <w:rsid w:val="0E944DD6"/>
    <w:rsid w:val="0ED25851"/>
    <w:rsid w:val="10686488"/>
    <w:rsid w:val="10DF728A"/>
    <w:rsid w:val="11335A3C"/>
    <w:rsid w:val="1264200E"/>
    <w:rsid w:val="141C5B77"/>
    <w:rsid w:val="18D8339D"/>
    <w:rsid w:val="1A21388F"/>
    <w:rsid w:val="1A570D2F"/>
    <w:rsid w:val="23653631"/>
    <w:rsid w:val="28FB0B8D"/>
    <w:rsid w:val="2A9870FC"/>
    <w:rsid w:val="2CF83C17"/>
    <w:rsid w:val="2D2B7942"/>
    <w:rsid w:val="2D46481D"/>
    <w:rsid w:val="2E733B28"/>
    <w:rsid w:val="31852B5A"/>
    <w:rsid w:val="32D01238"/>
    <w:rsid w:val="3DFC59A8"/>
    <w:rsid w:val="3ECF245E"/>
    <w:rsid w:val="3FB96314"/>
    <w:rsid w:val="4C5E722D"/>
    <w:rsid w:val="4EAC0E55"/>
    <w:rsid w:val="53A44FAF"/>
    <w:rsid w:val="56905B26"/>
    <w:rsid w:val="5919114A"/>
    <w:rsid w:val="594329EC"/>
    <w:rsid w:val="5BEE1540"/>
    <w:rsid w:val="5DE61A5D"/>
    <w:rsid w:val="63C04243"/>
    <w:rsid w:val="649C01C7"/>
    <w:rsid w:val="667C0A8D"/>
    <w:rsid w:val="699A3F60"/>
    <w:rsid w:val="72902E62"/>
    <w:rsid w:val="73C61104"/>
    <w:rsid w:val="74EA1BB3"/>
    <w:rsid w:val="776452EA"/>
    <w:rsid w:val="7B486D73"/>
    <w:rsid w:val="7C083319"/>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jpeg"/><Relationship Id="rId15" Type="http://schemas.openxmlformats.org/officeDocument/2006/relationships/chart" Target="charts/chart5.xml"/><Relationship Id="rId14" Type="http://schemas.openxmlformats.org/officeDocument/2006/relationships/image" Target="media/image5.png"/><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Sheet1!$A$2:$A$5</c:f>
              <c:strCache>
                <c:ptCount val="4"/>
                <c:pt idx="0">
                  <c:v>财政拨款</c:v>
                </c:pt>
                <c:pt idx="1">
                  <c:v>事业收入</c:v>
                </c:pt>
                <c:pt idx="2">
                  <c:v>经营收入</c:v>
                </c:pt>
                <c:pt idx="3">
                  <c:v>其他收入</c:v>
                </c:pt>
              </c:strCache>
            </c:strRef>
          </c:cat>
          <c:val>
            <c:numRef>
              <c:f>Sheet1!$B$2:$B$5</c:f>
              <c:numCache>
                <c:formatCode>General</c:formatCode>
                <c:ptCount val="4"/>
                <c:pt idx="0">
                  <c:v>100</c:v>
                </c:pt>
                <c:pt idx="1">
                  <c:v>0</c:v>
                </c:pt>
                <c:pt idx="2">
                  <c:v>0</c:v>
                </c:pt>
                <c:pt idx="3">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支出合计</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Sheet1!$A$2:$A$5</c:f>
              <c:strCache>
                <c:ptCount val="4"/>
                <c:pt idx="0">
                  <c:v>基本支出</c:v>
                </c:pt>
                <c:pt idx="1">
                  <c:v>项目支出</c:v>
                </c:pt>
              </c:strCache>
            </c:strRef>
          </c:cat>
          <c:val>
            <c:numRef>
              <c:f>Sheet1!$B$2:$B$5</c:f>
              <c:numCache>
                <c:formatCode>General</c:formatCode>
                <c:ptCount val="4"/>
                <c:pt idx="0">
                  <c:v>65.85</c:v>
                </c:pt>
                <c:pt idx="1">
                  <c:v>34.15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84578696343402"/>
          <c:y val="0.148065934065934"/>
          <c:w val="0.907356430944471"/>
          <c:h val="0.689267399267399"/>
        </c:manualLayout>
      </c:layout>
      <c:barChart>
        <c:barDir val="col"/>
        <c:grouping val="clustered"/>
        <c:varyColors val="0"/>
        <c:ser>
          <c:idx val="0"/>
          <c:order val="0"/>
          <c:tx>
            <c:strRef>
              <c:f>Sheet1!$B$1</c:f>
              <c:strCache>
                <c:ptCount val="1"/>
                <c:pt idx="0">
                  <c:v>2017年</c:v>
                </c:pt>
              </c:strCache>
            </c:strRef>
          </c:tx>
          <c:spPr>
            <a:solidFill>
              <a:schemeClr val="accent1">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Sheet1!$B$2:$B$5</c:f>
              <c:numCache>
                <c:formatCode>General</c:formatCode>
                <c:ptCount val="4"/>
                <c:pt idx="0">
                  <c:v>3250.57</c:v>
                </c:pt>
                <c:pt idx="1">
                  <c:v>3250.57</c:v>
                </c:pt>
              </c:numCache>
            </c:numRef>
          </c:val>
        </c:ser>
        <c:ser>
          <c:idx val="1"/>
          <c:order val="1"/>
          <c:tx>
            <c:strRef>
              <c:f>Sheet1!$C$1</c:f>
              <c:strCache>
                <c:ptCount val="1"/>
                <c:pt idx="0">
                  <c:v>2018年</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Sheet1!$C$2:$C$5</c:f>
              <c:numCache>
                <c:formatCode>General</c:formatCode>
                <c:ptCount val="4"/>
                <c:pt idx="0">
                  <c:v>2859.28</c:v>
                </c:pt>
                <c:pt idx="1">
                  <c:v>2868.76</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242210688"/>
        <c:axId val="242212224"/>
      </c:barChart>
      <c:catAx>
        <c:axId val="24221068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2212224"/>
        <c:crosses val="autoZero"/>
        <c:auto val="1"/>
        <c:lblAlgn val="ctr"/>
        <c:lblOffset val="100"/>
        <c:noMultiLvlLbl val="0"/>
      </c:catAx>
      <c:valAx>
        <c:axId val="24221222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2210688"/>
        <c:crosses val="autoZero"/>
        <c:crossBetween val="between"/>
      </c:valAx>
      <c:spPr>
        <a:noFill/>
        <a:ln>
          <a:noFill/>
        </a:ln>
        <a:effectLst>
          <a:innerShdw blurRad="63500" dist="50800" dir="13500000">
            <a:prstClr val="black">
              <a:alpha val="50000"/>
            </a:prstClr>
          </a:innerShdw>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84578696343402"/>
          <c:y val="0.148065934065934"/>
          <c:w val="0.907356430944471"/>
          <c:h val="0.689267399267399"/>
        </c:manualLayout>
      </c:layout>
      <c:barChart>
        <c:barDir val="col"/>
        <c:grouping val="clustered"/>
        <c:varyColors val="0"/>
        <c:ser>
          <c:idx val="0"/>
          <c:order val="0"/>
          <c:tx>
            <c:strRef>
              <c:f>Sheet1!$B$1</c:f>
              <c:strCache>
                <c:ptCount val="1"/>
                <c:pt idx="0">
                  <c:v>2018年预算</c:v>
                </c:pt>
              </c:strCache>
            </c:strRef>
          </c:tx>
          <c:spPr>
            <a:solidFill>
              <a:schemeClr val="accent1">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Sheet1!$B$2:$B$5</c:f>
              <c:numCache>
                <c:formatCode>General</c:formatCode>
                <c:ptCount val="4"/>
                <c:pt idx="0">
                  <c:v>3376.64</c:v>
                </c:pt>
                <c:pt idx="1">
                  <c:v>3376.64</c:v>
                </c:pt>
              </c:numCache>
            </c:numRef>
          </c:val>
        </c:ser>
        <c:ser>
          <c:idx val="1"/>
          <c:order val="1"/>
          <c:tx>
            <c:strRef>
              <c:f>Sheet1!$C$1</c:f>
              <c:strCache>
                <c:ptCount val="1"/>
                <c:pt idx="0">
                  <c:v>2018年决算</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Sheet1!$C$2:$C$5</c:f>
              <c:numCache>
                <c:formatCode>General</c:formatCode>
                <c:ptCount val="4"/>
                <c:pt idx="0">
                  <c:v>2859.28</c:v>
                </c:pt>
                <c:pt idx="1">
                  <c:v>2868.76</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44468096"/>
        <c:axId val="44469632"/>
      </c:barChart>
      <c:catAx>
        <c:axId val="4446809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69632"/>
        <c:crosses val="autoZero"/>
        <c:auto val="1"/>
        <c:lblAlgn val="ctr"/>
        <c:lblOffset val="100"/>
        <c:noMultiLvlLbl val="0"/>
      </c:catAx>
      <c:valAx>
        <c:axId val="4446963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68096"/>
        <c:crosses val="autoZero"/>
        <c:crossBetween val="between"/>
      </c:valAx>
      <c:spPr>
        <a:noFill/>
        <a:ln>
          <a:noFill/>
        </a:ln>
        <a:effectLst>
          <a:innerShdw blurRad="63500" dist="50800" dir="13500000">
            <a:prstClr val="black">
              <a:alpha val="50000"/>
            </a:prstClr>
          </a:innerShdw>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财政拨款支出</c:v>
                </c:pt>
              </c:strCache>
            </c:strRef>
          </c:tx>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Sheet1!$A$2:$A$5</c:f>
              <c:strCache>
                <c:ptCount val="4"/>
                <c:pt idx="0">
                  <c:v>一般公共服务</c:v>
                </c:pt>
                <c:pt idx="1">
                  <c:v>公共安全类</c:v>
                </c:pt>
                <c:pt idx="2">
                  <c:v>教育类</c:v>
                </c:pt>
                <c:pt idx="3">
                  <c:v>科学技术类</c:v>
                </c:pt>
              </c:strCache>
            </c:strRef>
          </c:cat>
          <c:val>
            <c:numRef>
              <c:f>Sheet1!$B$2:$B$5</c:f>
              <c:numCache>
                <c:formatCode>General</c:formatCode>
                <c:ptCount val="4"/>
                <c:pt idx="0">
                  <c:v>0</c:v>
                </c:pt>
                <c:pt idx="1">
                  <c:v>100</c:v>
                </c:pt>
                <c:pt idx="2">
                  <c:v>0</c:v>
                </c:pt>
                <c:pt idx="3">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5EFB9B-827D-4324-901C-B0EC6A745316}">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4391</Words>
  <Characters>4708</Characters>
  <Lines>35</Lines>
  <Paragraphs>9</Paragraphs>
  <TotalTime>23</TotalTime>
  <ScaleCrop>false</ScaleCrop>
  <LinksUpToDate>false</LinksUpToDate>
  <CharactersWithSpaces>4731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 </cp:lastModifiedBy>
  <cp:lastPrinted>2019-08-02T01:01:00Z</cp:lastPrinted>
  <dcterms:modified xsi:type="dcterms:W3CDTF">2024-09-10T06:40:46Z</dcterms:modified>
  <dc:subject>石家庄市xxx部门</dc:subject>
  <dc:title>2017年度部门决算</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764518C263D34D60B6801A8A96DA773C_12</vt:lpwstr>
  </property>
</Properties>
</file>