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07B816">
      <w:pPr>
        <w:widowControl/>
        <w:jc w:val="center"/>
        <w:rPr>
          <w:rFonts w:asciiTheme="minorEastAsia" w:hAnsiTheme="minorEastAsia" w:eastAsiaTheme="minorEastAsia"/>
          <w:b/>
          <w:sz w:val="72"/>
          <w:szCs w:val="72"/>
        </w:rPr>
      </w:pPr>
    </w:p>
    <w:p w14:paraId="56077F6A">
      <w:pPr>
        <w:widowControl/>
        <w:jc w:val="center"/>
        <w:rPr>
          <w:rFonts w:asciiTheme="minorEastAsia" w:hAnsiTheme="minorEastAsia" w:eastAsiaTheme="minorEastAsia"/>
          <w:b/>
          <w:sz w:val="72"/>
          <w:szCs w:val="72"/>
        </w:rPr>
      </w:pPr>
    </w:p>
    <w:p w14:paraId="642668E3">
      <w:pPr>
        <w:widowControl/>
        <w:jc w:val="center"/>
        <w:rPr>
          <w:rFonts w:asciiTheme="minorEastAsia" w:hAnsiTheme="minorEastAsia" w:eastAsiaTheme="minorEastAsia"/>
          <w:sz w:val="72"/>
          <w:szCs w:val="72"/>
        </w:rPr>
      </w:pPr>
    </w:p>
    <w:p w14:paraId="6B8D2F9B">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14:paraId="29714026">
      <w:pPr>
        <w:widowControl/>
        <w:jc w:val="center"/>
        <w:rPr>
          <w:rFonts w:asciiTheme="minorEastAsia" w:hAnsiTheme="minorEastAsia" w:eastAsiaTheme="minorEastAsia"/>
          <w:b/>
          <w:sz w:val="72"/>
          <w:szCs w:val="72"/>
        </w:rPr>
      </w:pPr>
    </w:p>
    <w:p w14:paraId="49F783B0">
      <w:pPr>
        <w:widowControl/>
        <w:jc w:val="center"/>
        <w:rPr>
          <w:rFonts w:asciiTheme="minorEastAsia" w:hAnsiTheme="minorEastAsia" w:eastAsiaTheme="minorEastAsia"/>
          <w:b/>
          <w:sz w:val="72"/>
          <w:szCs w:val="72"/>
        </w:rPr>
      </w:pPr>
    </w:p>
    <w:p w14:paraId="2C375E04">
      <w:pPr>
        <w:widowControl/>
        <w:jc w:val="center"/>
        <w:rPr>
          <w:rFonts w:asciiTheme="minorEastAsia" w:hAnsiTheme="minorEastAsia" w:eastAsiaTheme="minorEastAsia"/>
          <w:b/>
          <w:sz w:val="72"/>
          <w:szCs w:val="72"/>
        </w:rPr>
      </w:pPr>
    </w:p>
    <w:p w14:paraId="38A6AE51">
      <w:pPr>
        <w:widowControl/>
        <w:jc w:val="center"/>
        <w:rPr>
          <w:rFonts w:asciiTheme="minorEastAsia" w:hAnsiTheme="minorEastAsia" w:eastAsiaTheme="minorEastAsia"/>
          <w:b/>
          <w:sz w:val="72"/>
          <w:szCs w:val="72"/>
        </w:rPr>
      </w:pPr>
    </w:p>
    <w:p w14:paraId="430D2E0C">
      <w:pPr>
        <w:widowControl/>
        <w:jc w:val="center"/>
        <w:rPr>
          <w:rFonts w:asciiTheme="minorEastAsia" w:hAnsiTheme="minorEastAsia" w:eastAsiaTheme="minorEastAsia"/>
          <w:b/>
          <w:sz w:val="72"/>
          <w:szCs w:val="72"/>
        </w:rPr>
      </w:pPr>
    </w:p>
    <w:p w14:paraId="6D5A53A8">
      <w:pPr>
        <w:widowControl/>
        <w:jc w:val="center"/>
        <w:rPr>
          <w:rFonts w:ascii="宋体" w:hAnsi="宋体"/>
          <w:b/>
          <w:sz w:val="44"/>
          <w:szCs w:val="44"/>
        </w:rPr>
      </w:pPr>
      <w:r>
        <w:rPr>
          <w:rFonts w:hint="eastAsia" w:ascii="宋体" w:hAnsi="宋体"/>
          <w:b/>
          <w:sz w:val="44"/>
          <w:szCs w:val="44"/>
        </w:rPr>
        <w:t>石家庄市藁城区人民法院</w:t>
      </w:r>
    </w:p>
    <w:p w14:paraId="7055B30E">
      <w:pPr>
        <w:widowControl/>
        <w:jc w:val="center"/>
        <w:rPr>
          <w:rFonts w:ascii="宋体" w:hAnsi="宋体"/>
          <w:b/>
          <w:sz w:val="44"/>
          <w:szCs w:val="44"/>
        </w:rPr>
      </w:pPr>
      <w:r>
        <w:rPr>
          <w:rFonts w:hint="eastAsia" w:ascii="宋体" w:hAnsi="宋体"/>
          <w:b/>
          <w:sz w:val="44"/>
          <w:szCs w:val="44"/>
        </w:rPr>
        <w:t>2018年10月16日</w:t>
      </w:r>
    </w:p>
    <w:p w14:paraId="217A71D2">
      <w:pPr>
        <w:widowControl/>
        <w:spacing w:line="580" w:lineRule="exact"/>
        <w:jc w:val="center"/>
        <w:rPr>
          <w:rFonts w:eastAsia="方正小标宋_GBK"/>
          <w:sz w:val="44"/>
          <w:szCs w:val="44"/>
        </w:rPr>
      </w:pPr>
    </w:p>
    <w:p w14:paraId="39B76F80">
      <w:pPr>
        <w:widowControl/>
        <w:spacing w:line="580" w:lineRule="exact"/>
        <w:jc w:val="center"/>
        <w:rPr>
          <w:rFonts w:ascii="黑体" w:eastAsia="黑体"/>
          <w:sz w:val="44"/>
          <w:szCs w:val="44"/>
        </w:rPr>
      </w:pPr>
      <w:r>
        <w:rPr>
          <w:rFonts w:hint="eastAsia" w:ascii="黑体" w:eastAsia="黑体"/>
          <w:sz w:val="44"/>
          <w:szCs w:val="44"/>
        </w:rPr>
        <w:t>石家庄市藁城区人民法院2017年决算</w:t>
      </w:r>
    </w:p>
    <w:p w14:paraId="52C6457A">
      <w:pPr>
        <w:widowControl/>
        <w:spacing w:line="580" w:lineRule="exact"/>
        <w:jc w:val="center"/>
        <w:rPr>
          <w:rFonts w:ascii="黑体" w:eastAsia="黑体"/>
          <w:sz w:val="44"/>
          <w:szCs w:val="44"/>
        </w:rPr>
      </w:pPr>
      <w:r>
        <w:rPr>
          <w:rFonts w:hint="eastAsia" w:ascii="黑体" w:eastAsia="黑体"/>
          <w:sz w:val="44"/>
          <w:szCs w:val="44"/>
        </w:rPr>
        <w:t>部门决算公开目录</w:t>
      </w:r>
    </w:p>
    <w:p w14:paraId="0465BCAD">
      <w:pPr>
        <w:widowControl/>
        <w:spacing w:line="580" w:lineRule="exact"/>
        <w:ind w:firstLine="640" w:firstLineChars="200"/>
        <w:rPr>
          <w:rFonts w:eastAsia="黑体"/>
          <w:sz w:val="32"/>
          <w:szCs w:val="32"/>
        </w:rPr>
      </w:pPr>
    </w:p>
    <w:p w14:paraId="72D1765C">
      <w:pPr>
        <w:widowControl/>
        <w:spacing w:line="580" w:lineRule="exact"/>
        <w:ind w:firstLine="640" w:firstLineChars="200"/>
        <w:rPr>
          <w:rFonts w:eastAsia="仿宋_GB2312"/>
          <w:sz w:val="24"/>
          <w:szCs w:val="32"/>
        </w:rPr>
      </w:pPr>
      <w:r>
        <w:rPr>
          <w:rFonts w:eastAsia="黑体"/>
          <w:sz w:val="32"/>
          <w:szCs w:val="32"/>
        </w:rPr>
        <w:t>第一部分   石家庄市藁城区人民法院部门概况</w:t>
      </w:r>
      <w:r>
        <w:rPr>
          <w:rFonts w:hint="eastAsia" w:eastAsia="仿宋_GB2312"/>
          <w:sz w:val="24"/>
          <w:szCs w:val="32"/>
        </w:rPr>
        <w:t xml:space="preserve">   </w:t>
      </w:r>
    </w:p>
    <w:p w14:paraId="1568F791">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3CFD17A3">
      <w:pPr>
        <w:widowControl/>
        <w:spacing w:line="580" w:lineRule="exact"/>
        <w:ind w:firstLine="1273" w:firstLineChars="398"/>
        <w:rPr>
          <w:rFonts w:eastAsia="仿宋_GB2312"/>
          <w:sz w:val="32"/>
          <w:szCs w:val="32"/>
        </w:rPr>
      </w:pPr>
      <w:r>
        <w:rPr>
          <w:rFonts w:eastAsia="仿宋_GB2312"/>
          <w:sz w:val="32"/>
          <w:szCs w:val="32"/>
        </w:rPr>
        <w:t>二、部门决算单位构成</w:t>
      </w:r>
    </w:p>
    <w:p w14:paraId="4ABC8BB9">
      <w:pPr>
        <w:widowControl/>
        <w:spacing w:line="580" w:lineRule="exact"/>
        <w:ind w:firstLine="640" w:firstLineChars="200"/>
        <w:rPr>
          <w:rFonts w:eastAsia="仿宋_GB2312"/>
          <w:sz w:val="20"/>
          <w:szCs w:val="32"/>
        </w:rPr>
      </w:pPr>
      <w:r>
        <w:rPr>
          <w:rFonts w:eastAsia="黑体"/>
          <w:sz w:val="32"/>
          <w:szCs w:val="32"/>
        </w:rPr>
        <w:t>第二部分  石家庄市藁城区人民法院2017年度部门决算报表</w:t>
      </w:r>
    </w:p>
    <w:p w14:paraId="2D471441">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6D0FA854">
      <w:pPr>
        <w:widowControl/>
        <w:spacing w:line="580" w:lineRule="exact"/>
        <w:ind w:left="640" w:firstLine="640" w:firstLineChars="200"/>
        <w:rPr>
          <w:rFonts w:eastAsia="仿宋_GB2312"/>
          <w:sz w:val="32"/>
          <w:szCs w:val="32"/>
        </w:rPr>
      </w:pPr>
      <w:r>
        <w:rPr>
          <w:rFonts w:eastAsia="仿宋_GB2312"/>
          <w:sz w:val="32"/>
          <w:szCs w:val="32"/>
        </w:rPr>
        <w:t>二、收入决算表</w:t>
      </w:r>
    </w:p>
    <w:p w14:paraId="3190D87B">
      <w:pPr>
        <w:widowControl/>
        <w:spacing w:line="580" w:lineRule="exact"/>
        <w:ind w:left="640" w:firstLine="640" w:firstLineChars="200"/>
        <w:rPr>
          <w:rFonts w:eastAsia="仿宋_GB2312"/>
          <w:sz w:val="32"/>
          <w:szCs w:val="32"/>
        </w:rPr>
      </w:pPr>
      <w:r>
        <w:rPr>
          <w:rFonts w:eastAsia="仿宋_GB2312"/>
          <w:sz w:val="32"/>
          <w:szCs w:val="32"/>
        </w:rPr>
        <w:t>三、支出决算表</w:t>
      </w:r>
    </w:p>
    <w:p w14:paraId="61124FCB">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4B091B6C">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14:paraId="0843372C">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14:paraId="0840182C">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14:paraId="2719CB5D">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14:paraId="4E87D2D4">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14:paraId="5749A0B9">
      <w:pPr>
        <w:widowControl/>
        <w:spacing w:line="580" w:lineRule="exact"/>
        <w:ind w:left="640" w:firstLine="640" w:firstLineChars="200"/>
        <w:rPr>
          <w:rFonts w:eastAsia="仿宋_GB2312"/>
          <w:sz w:val="32"/>
          <w:szCs w:val="32"/>
        </w:rPr>
      </w:pPr>
      <w:r>
        <w:rPr>
          <w:rFonts w:eastAsia="仿宋_GB2312"/>
          <w:sz w:val="32"/>
          <w:szCs w:val="32"/>
        </w:rPr>
        <w:t>十、政府采购情况表</w:t>
      </w:r>
    </w:p>
    <w:p w14:paraId="38B177B6">
      <w:pPr>
        <w:widowControl/>
        <w:spacing w:line="580" w:lineRule="exact"/>
        <w:ind w:firstLine="640" w:firstLineChars="200"/>
        <w:rPr>
          <w:rFonts w:eastAsia="黑体"/>
          <w:sz w:val="32"/>
          <w:szCs w:val="32"/>
        </w:rPr>
      </w:pPr>
      <w:r>
        <w:rPr>
          <w:rFonts w:eastAsia="黑体"/>
          <w:sz w:val="32"/>
          <w:szCs w:val="32"/>
        </w:rPr>
        <w:t>第三部分  石家庄市藁城区人民法院2017年部门决算情况说明</w:t>
      </w:r>
    </w:p>
    <w:p w14:paraId="77E1C948">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32A1F1F4">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7A283356">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5659724C">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14:paraId="088C54E0">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14:paraId="1544A34D">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14:paraId="7DCB9971">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14:paraId="2393FC66">
      <w:pPr>
        <w:widowControl/>
        <w:spacing w:line="580" w:lineRule="exact"/>
        <w:ind w:left="640" w:firstLine="1344" w:firstLineChars="420"/>
        <w:rPr>
          <w:rFonts w:eastAsia="仿宋_GB2312"/>
          <w:sz w:val="32"/>
          <w:szCs w:val="32"/>
        </w:rPr>
      </w:pPr>
      <w:r>
        <w:rPr>
          <w:rFonts w:eastAsia="仿宋_GB2312"/>
          <w:sz w:val="32"/>
          <w:szCs w:val="32"/>
        </w:rPr>
        <w:t>1.机关运行经费情况</w:t>
      </w:r>
    </w:p>
    <w:p w14:paraId="10E37C5E">
      <w:pPr>
        <w:widowControl/>
        <w:spacing w:line="580" w:lineRule="exact"/>
        <w:ind w:left="640" w:firstLine="1344" w:firstLineChars="420"/>
        <w:rPr>
          <w:rFonts w:eastAsia="仿宋_GB2312"/>
          <w:sz w:val="32"/>
          <w:szCs w:val="32"/>
        </w:rPr>
      </w:pPr>
      <w:r>
        <w:rPr>
          <w:rFonts w:eastAsia="仿宋_GB2312"/>
          <w:sz w:val="32"/>
          <w:szCs w:val="32"/>
        </w:rPr>
        <w:t>2.政府采购情况</w:t>
      </w:r>
    </w:p>
    <w:p w14:paraId="2BBAAEA3">
      <w:pPr>
        <w:widowControl/>
        <w:spacing w:line="580" w:lineRule="exact"/>
        <w:ind w:left="640" w:firstLine="1344" w:firstLineChars="420"/>
        <w:rPr>
          <w:rFonts w:eastAsia="仿宋_GB2312"/>
          <w:sz w:val="32"/>
          <w:szCs w:val="32"/>
        </w:rPr>
      </w:pPr>
      <w:r>
        <w:rPr>
          <w:rFonts w:eastAsia="仿宋_GB2312"/>
          <w:sz w:val="32"/>
          <w:szCs w:val="32"/>
        </w:rPr>
        <w:t>3.国有资产占用情况</w:t>
      </w:r>
    </w:p>
    <w:p w14:paraId="0AA5D526">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14:paraId="19A30F9C">
      <w:pPr>
        <w:widowControl/>
        <w:spacing w:line="580" w:lineRule="exact"/>
        <w:ind w:firstLine="640" w:firstLineChars="200"/>
        <w:rPr>
          <w:rFonts w:eastAsia="黑体"/>
          <w:sz w:val="32"/>
          <w:szCs w:val="32"/>
        </w:rPr>
      </w:pPr>
      <w:r>
        <w:rPr>
          <w:rFonts w:eastAsia="黑体"/>
          <w:sz w:val="32"/>
          <w:szCs w:val="32"/>
        </w:rPr>
        <w:t>第四部分  名词解释</w:t>
      </w:r>
    </w:p>
    <w:p w14:paraId="21179981"/>
    <w:p w14:paraId="231774AC"/>
    <w:p w14:paraId="7EF0DD80">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14:paraId="6C30A783">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14:paraId="4643BBAC">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1、审判法律、法令规定由市人民法院管辖的刑事、民事、行政一审案件。</w:t>
      </w:r>
    </w:p>
    <w:p w14:paraId="0E7EA4A0">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2、依法受理和审查各类告诉、申诉、案件；审判各类再审案件和减刑、假释案件，处理来信来访。</w:t>
      </w:r>
    </w:p>
    <w:p w14:paraId="208D00DC">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3、依法办理发生法律效力的民事、行政案件判决和裁定的执行事项以及刑事案件判决和裁定中有关财产部分的执行事项； 办理法律规定由法院执行的其它法律文书的执行事项。</w:t>
      </w:r>
    </w:p>
    <w:p w14:paraId="72A4D429">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4、负责审判工作的调查研究，总结审判经验及适用法律、政策问题的请示。</w:t>
      </w:r>
    </w:p>
    <w:p w14:paraId="12C84F4F">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5、对法院干警进行思想政治教育和培训工作；协同主管部门管理法院的机构设置、人员编制工作。</w:t>
      </w:r>
    </w:p>
    <w:p w14:paraId="74406C7A">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6、管理和指导基层人民法院工作。</w:t>
      </w:r>
    </w:p>
    <w:p w14:paraId="3E37DE27">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7、管理本院的有关经费和物资装备。</w:t>
      </w:r>
    </w:p>
    <w:p w14:paraId="08E02FD0">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8、在审判工作、宣传法制、教育公民忠于社会主义祖国，自觉遵守宪法、法律和社会公德。</w:t>
      </w:r>
    </w:p>
    <w:p w14:paraId="1434FAB2">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9、承办其它应由本院负责的工作。</w:t>
      </w:r>
    </w:p>
    <w:p w14:paraId="3385A88E">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14:paraId="072FB8A7">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2017年度，纳入本部门决算汇编范围的独立核算单位</w:t>
      </w:r>
    </w:p>
    <w:p w14:paraId="22E20003">
      <w:pPr>
        <w:autoSpaceDE w:val="0"/>
        <w:autoSpaceDN w:val="0"/>
        <w:adjustRightInd w:val="0"/>
        <w:spacing w:after="0" w:line="560" w:lineRule="exact"/>
        <w:jc w:val="lef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（以下简称“单位”）共1个，单位基本性质为行政单位，预算管理级次为一级预算单位，执行行政事业单位会计制度，较上年无增减变化。</w:t>
      </w:r>
    </w:p>
    <w:p w14:paraId="598FD072">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14:paraId="7FA39A57">
      <w:pPr>
        <w:widowControl/>
        <w:spacing w:after="0" w:line="560" w:lineRule="exact"/>
        <w:ind w:firstLine="883" w:firstLineChars="200"/>
        <w:jc w:val="left"/>
        <w:rPr>
          <w:rFonts w:cs="MS-UIGothic,Bold" w:asciiTheme="majorEastAsia" w:hAnsiTheme="majorEastAsia" w:eastAsiaTheme="majorEastAsia"/>
          <w:b/>
          <w:bCs/>
          <w:kern w:val="0"/>
          <w:sz w:val="44"/>
          <w:szCs w:val="44"/>
        </w:rPr>
      </w:pPr>
    </w:p>
    <w:p w14:paraId="4CED0A9B">
      <w:pPr>
        <w:pStyle w:val="32"/>
        <w:numPr>
          <w:ilvl w:val="0"/>
          <w:numId w:val="1"/>
        </w:numPr>
        <w:spacing w:line="360" w:lineRule="auto"/>
        <w:ind w:firstLineChars="0"/>
        <w:jc w:val="left"/>
        <w:rPr>
          <w:rFonts w:ascii="宋体" w:hAnsi="宋体"/>
          <w:sz w:val="32"/>
          <w:szCs w:val="32"/>
        </w:rPr>
      </w:pPr>
      <w:r>
        <w:rPr>
          <w:rFonts w:hint="eastAsia" w:ascii="宋体" w:hAnsi="宋体"/>
          <w:sz w:val="32"/>
          <w:szCs w:val="32"/>
        </w:rPr>
        <w:t>收入支出决算总表</w:t>
      </w:r>
    </w:p>
    <w:p w14:paraId="5E33636B">
      <w:pPr>
        <w:spacing w:line="360" w:lineRule="auto"/>
        <w:ind w:firstLine="960"/>
        <w:jc w:val="left"/>
        <w:rPr>
          <w:rFonts w:ascii="宋体" w:hAnsi="宋体"/>
          <w:sz w:val="32"/>
          <w:szCs w:val="32"/>
        </w:rPr>
      </w:pPr>
      <w:r>
        <w:rPr>
          <w:rFonts w:hint="eastAsia" w:ascii="宋体" w:hAnsi="宋体"/>
          <w:sz w:val="32"/>
          <w:szCs w:val="32"/>
        </w:rPr>
        <w:t>二、收入决算表</w:t>
      </w:r>
    </w:p>
    <w:p w14:paraId="3DB97960">
      <w:pPr>
        <w:spacing w:line="360" w:lineRule="auto"/>
        <w:ind w:firstLine="960" w:firstLineChars="300"/>
        <w:jc w:val="left"/>
        <w:rPr>
          <w:rFonts w:ascii="宋体" w:hAnsi="宋体"/>
          <w:sz w:val="32"/>
          <w:szCs w:val="32"/>
        </w:rPr>
      </w:pPr>
      <w:r>
        <w:rPr>
          <w:rFonts w:hint="eastAsia" w:ascii="宋体" w:hAnsi="宋体"/>
          <w:sz w:val="32"/>
          <w:szCs w:val="32"/>
        </w:rPr>
        <w:t>三、支出决算表</w:t>
      </w:r>
    </w:p>
    <w:p w14:paraId="7BE96AEF">
      <w:pPr>
        <w:spacing w:line="360" w:lineRule="auto"/>
        <w:ind w:firstLine="960" w:firstLineChars="300"/>
        <w:jc w:val="left"/>
        <w:rPr>
          <w:rFonts w:ascii="宋体" w:hAnsi="宋体"/>
          <w:sz w:val="32"/>
          <w:szCs w:val="32"/>
        </w:rPr>
      </w:pPr>
      <w:r>
        <w:rPr>
          <w:rFonts w:hint="eastAsia" w:ascii="宋体" w:hAnsi="宋体"/>
          <w:sz w:val="32"/>
          <w:szCs w:val="32"/>
        </w:rPr>
        <w:t>四、财政拨款收入支出决算总表</w:t>
      </w:r>
    </w:p>
    <w:p w14:paraId="193DA8D7">
      <w:pPr>
        <w:spacing w:line="360" w:lineRule="auto"/>
        <w:ind w:firstLine="960" w:firstLineChars="300"/>
        <w:jc w:val="left"/>
        <w:rPr>
          <w:rFonts w:ascii="宋体" w:hAnsi="宋体"/>
          <w:sz w:val="32"/>
          <w:szCs w:val="32"/>
        </w:rPr>
      </w:pPr>
      <w:r>
        <w:rPr>
          <w:rFonts w:hint="eastAsia" w:ascii="宋体" w:hAnsi="宋体"/>
          <w:sz w:val="32"/>
          <w:szCs w:val="32"/>
        </w:rPr>
        <w:t>五、一般公共预算财政拨款收入支出决算表</w:t>
      </w:r>
    </w:p>
    <w:p w14:paraId="0C872EBF">
      <w:pPr>
        <w:spacing w:line="360" w:lineRule="auto"/>
        <w:ind w:firstLine="960" w:firstLineChars="300"/>
        <w:jc w:val="left"/>
        <w:rPr>
          <w:rFonts w:ascii="宋体" w:hAnsi="宋体"/>
          <w:sz w:val="32"/>
          <w:szCs w:val="32"/>
        </w:rPr>
      </w:pPr>
      <w:r>
        <w:rPr>
          <w:rFonts w:hint="eastAsia" w:ascii="宋体" w:hAnsi="宋体"/>
          <w:sz w:val="32"/>
          <w:szCs w:val="32"/>
        </w:rPr>
        <w:t>六、一般公共预算财政拨款基本支出决算经济分类表</w:t>
      </w:r>
    </w:p>
    <w:p w14:paraId="0A65EFA9">
      <w:pPr>
        <w:spacing w:line="360" w:lineRule="auto"/>
        <w:ind w:firstLine="960" w:firstLineChars="300"/>
        <w:jc w:val="left"/>
        <w:rPr>
          <w:rFonts w:ascii="宋体" w:hAnsi="宋体"/>
          <w:sz w:val="32"/>
          <w:szCs w:val="32"/>
        </w:rPr>
      </w:pPr>
      <w:r>
        <w:rPr>
          <w:rFonts w:hint="eastAsia" w:ascii="宋体" w:hAnsi="宋体"/>
          <w:sz w:val="32"/>
          <w:szCs w:val="32"/>
        </w:rPr>
        <w:t>七、 政府性基金预算财政拨款收入支出决算表</w:t>
      </w:r>
    </w:p>
    <w:p w14:paraId="695FF8FD">
      <w:pPr>
        <w:spacing w:line="360" w:lineRule="auto"/>
        <w:ind w:firstLine="960" w:firstLineChars="300"/>
        <w:jc w:val="left"/>
        <w:rPr>
          <w:rFonts w:ascii="宋体" w:hAnsi="宋体"/>
          <w:sz w:val="32"/>
          <w:szCs w:val="32"/>
        </w:rPr>
      </w:pPr>
      <w:r>
        <w:rPr>
          <w:rFonts w:hint="eastAsia" w:ascii="宋体" w:hAnsi="宋体"/>
          <w:sz w:val="32"/>
          <w:szCs w:val="32"/>
        </w:rPr>
        <w:t>八、 国有资本经营预算财政拨款收入支出决算表</w:t>
      </w:r>
    </w:p>
    <w:p w14:paraId="7C6F719B">
      <w:pPr>
        <w:spacing w:line="360" w:lineRule="auto"/>
        <w:ind w:firstLine="960" w:firstLineChars="300"/>
        <w:jc w:val="left"/>
        <w:rPr>
          <w:rFonts w:ascii="宋体" w:hAnsi="宋体"/>
          <w:sz w:val="32"/>
          <w:szCs w:val="32"/>
        </w:rPr>
      </w:pPr>
      <w:r>
        <w:rPr>
          <w:rFonts w:hint="eastAsia" w:ascii="宋体" w:hAnsi="宋体"/>
          <w:sz w:val="32"/>
          <w:szCs w:val="32"/>
        </w:rPr>
        <w:t>九、 “ 三公” 经费等相关信息统计表</w:t>
      </w:r>
    </w:p>
    <w:p w14:paraId="349F0733">
      <w:pPr>
        <w:spacing w:line="360" w:lineRule="auto"/>
        <w:ind w:firstLine="960" w:firstLineChars="300"/>
        <w:jc w:val="left"/>
        <w:rPr>
          <w:rFonts w:ascii="宋体" w:hAnsi="宋体"/>
          <w:sz w:val="32"/>
          <w:szCs w:val="32"/>
        </w:rPr>
      </w:pPr>
      <w:r>
        <w:rPr>
          <w:rFonts w:hint="eastAsia" w:ascii="宋体" w:hAnsi="宋体"/>
          <w:sz w:val="32"/>
          <w:szCs w:val="32"/>
        </w:rPr>
        <w:t>十、政府采购情况表</w:t>
      </w:r>
    </w:p>
    <w:p w14:paraId="3D9090D9">
      <w:pPr>
        <w:spacing w:line="360" w:lineRule="auto"/>
        <w:ind w:firstLine="960" w:firstLineChars="300"/>
        <w:jc w:val="left"/>
        <w:rPr>
          <w:rFonts w:ascii="宋体" w:hAnsi="宋体"/>
          <w:sz w:val="32"/>
          <w:szCs w:val="32"/>
        </w:rPr>
      </w:pPr>
      <w:r>
        <w:rPr>
          <w:rFonts w:hint="eastAsia" w:ascii="宋体" w:hAnsi="宋体"/>
          <w:sz w:val="32"/>
          <w:szCs w:val="32"/>
        </w:rPr>
        <w:t>（详见附表）</w:t>
      </w:r>
    </w:p>
    <w:p w14:paraId="02DE657D">
      <w:pPr>
        <w:pStyle w:val="2"/>
        <w:spacing w:line="560" w:lineRule="exact"/>
        <w:jc w:val="center"/>
        <w:rPr>
          <w:rFonts w:cs="ArialUnicodeMS" w:asciiTheme="majorEastAsia" w:hAnsiTheme="majorEastAsia" w:eastAsiaTheme="majorEastAsia"/>
          <w:color w:val="000000"/>
          <w:kern w:val="0"/>
        </w:rPr>
      </w:pPr>
    </w:p>
    <w:p w14:paraId="00467FA9">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14:paraId="4DB86F01">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14:paraId="7AD40542">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12.79万元，本年收入254.94万元；本年支出3250.57万元、年末结转和结余17.15万元。与2016年度决算相比，本年收入增加443.11万元，增长13.63%，主要是2017年增长人员工资标准；本年支出增加451.53万元，增长13.89%，主要是增长人员工资标准。</w:t>
      </w:r>
    </w:p>
    <w:p w14:paraId="559C6F78">
      <w:pPr>
        <w:pStyle w:val="3"/>
        <w:spacing w:before="0" w:after="0" w:line="560" w:lineRule="exact"/>
        <w:ind w:firstLine="643" w:firstLineChars="200"/>
        <w:rPr>
          <w:rFonts w:ascii="黑体" w:eastAsia="黑体"/>
        </w:rPr>
      </w:pPr>
      <w:r>
        <w:rPr>
          <w:rFonts w:hint="eastAsia" w:ascii="黑体" w:eastAsia="黑体"/>
        </w:rPr>
        <w:t>二、收入决算情况说明</w:t>
      </w:r>
    </w:p>
    <w:p w14:paraId="41B37316">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本部门2017年度本年收入合计3254.94万元，其中：财政拨款收入3254.94万元，占100%；事业收入0万元，占0%；经营收入0万元，占0%；其他收入0万元，占0%。如图所示：</w:t>
      </w:r>
    </w:p>
    <w:p w14:paraId="3461A4EF">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图1：收入决算结构饼状图</w:t>
      </w:r>
    </w:p>
    <w:p w14:paraId="3398B475">
      <w:pPr>
        <w:adjustRightInd w:val="0"/>
        <w:snapToGrid w:val="0"/>
        <w:spacing w:line="560" w:lineRule="exact"/>
        <w:ind w:firstLine="1920" w:firstLineChars="600"/>
        <w:rPr>
          <w:rFonts w:ascii="仿宋_GB2312" w:eastAsia="仿宋_GB2312" w:cs="DengXian-Regular"/>
          <w:sz w:val="32"/>
          <w:szCs w:val="32"/>
        </w:rPr>
      </w:pPr>
    </w:p>
    <w:p w14:paraId="75B4AC60">
      <w:pPr>
        <w:adjustRightInd w:val="0"/>
        <w:snapToGrid w:val="0"/>
        <w:spacing w:line="560" w:lineRule="exact"/>
        <w:ind w:firstLine="640" w:firstLineChars="200"/>
        <w:rPr>
          <w:rFonts w:ascii="仿宋_GB2312" w:eastAsia="仿宋_GB2312" w:cs="DengXian-Regular"/>
          <w:sz w:val="32"/>
          <w:szCs w:val="32"/>
        </w:rPr>
      </w:pPr>
    </w:p>
    <w:p w14:paraId="200968C2">
      <w:pPr>
        <w:adjustRightInd w:val="0"/>
        <w:snapToGrid w:val="0"/>
        <w:spacing w:line="560" w:lineRule="exact"/>
        <w:ind w:firstLine="640" w:firstLineChars="200"/>
        <w:rPr>
          <w:rFonts w:ascii="仿宋_GB2312" w:eastAsia="仿宋_GB2312" w:cs="DengXian-Regular"/>
          <w:sz w:val="32"/>
          <w:szCs w:val="32"/>
        </w:rPr>
      </w:pPr>
    </w:p>
    <w:p w14:paraId="0CEAA06A">
      <w:pPr>
        <w:adjustRightInd w:val="0"/>
        <w:snapToGrid w:val="0"/>
        <w:spacing w:after="0" w:line="560" w:lineRule="exact"/>
        <w:ind w:firstLine="640" w:firstLineChars="200"/>
        <w:rPr>
          <w:rFonts w:ascii="仿宋_GB2312" w:eastAsia="仿宋_GB2312" w:cs="DengXian-Regular"/>
          <w:sz w:val="32"/>
          <w:szCs w:val="32"/>
        </w:rPr>
      </w:pPr>
    </w:p>
    <w:p w14:paraId="70E33586">
      <w:pPr>
        <w:adjustRightInd w:val="0"/>
        <w:snapToGrid w:val="0"/>
        <w:spacing w:after="0" w:line="560" w:lineRule="exact"/>
        <w:ind w:firstLine="640" w:firstLineChars="200"/>
        <w:rPr>
          <w:rFonts w:ascii="仿宋_GB2312" w:eastAsia="仿宋_GB2312" w:cs="DengXian-Regular"/>
          <w:sz w:val="32"/>
          <w:szCs w:val="32"/>
        </w:rPr>
      </w:pPr>
    </w:p>
    <w:p w14:paraId="23C66416">
      <w:pPr>
        <w:adjustRightInd w:val="0"/>
        <w:snapToGrid w:val="0"/>
        <w:spacing w:after="0" w:line="560" w:lineRule="exact"/>
        <w:ind w:firstLine="640" w:firstLineChars="200"/>
        <w:rPr>
          <w:rFonts w:ascii="仿宋_GB2312" w:eastAsia="仿宋_GB2312" w:cs="DengXian-Regular"/>
          <w:sz w:val="32"/>
          <w:szCs w:val="32"/>
        </w:rPr>
      </w:pPr>
    </w:p>
    <w:p w14:paraId="1F227A75">
      <w:pPr>
        <w:adjustRightInd w:val="0"/>
        <w:snapToGrid w:val="0"/>
        <w:spacing w:after="0" w:line="560" w:lineRule="exact"/>
        <w:ind w:firstLine="640" w:firstLineChars="200"/>
        <w:rPr>
          <w:rFonts w:ascii="仿宋_GB2312" w:eastAsia="仿宋_GB2312" w:cs="DengXian-Regular"/>
          <w:sz w:val="32"/>
          <w:szCs w:val="32"/>
        </w:rPr>
      </w:pPr>
    </w:p>
    <w:p w14:paraId="5C1C1CED">
      <w:pPr>
        <w:pStyle w:val="3"/>
        <w:spacing w:before="0" w:after="0" w:line="560" w:lineRule="exact"/>
        <w:ind w:firstLine="643" w:firstLineChars="200"/>
        <w:rPr>
          <w:rFonts w:ascii="黑体" w:eastAsia="黑体"/>
        </w:rPr>
      </w:pPr>
      <w:r>
        <w:rPr>
          <w:rFonts w:hint="eastAsia" w:ascii="黑体" w:eastAsia="黑体"/>
        </w:rPr>
        <w:t>三、支出决算情况说明</w:t>
      </w:r>
    </w:p>
    <w:p w14:paraId="7C1A71AB">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本部门2017年度本年支出合计3250.57万元，其中：基本支出2595.11万元，占79.84%；项目支出655.46万元，占20.16%；经营支出0万元，占0%。如图所示：</w:t>
      </w:r>
    </w:p>
    <w:p w14:paraId="6FA8C380">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图2：支出决算结构饼状图</w:t>
      </w:r>
    </w:p>
    <w:p w14:paraId="606FFD72">
      <w:pPr>
        <w:adjustRightInd w:val="0"/>
        <w:snapToGrid w:val="0"/>
        <w:spacing w:line="560" w:lineRule="exact"/>
        <w:ind w:firstLine="640" w:firstLineChars="200"/>
        <w:rPr>
          <w:rFonts w:ascii="仿宋_GB2312" w:eastAsia="仿宋_GB2312" w:cs="DengXian-Regular"/>
          <w:sz w:val="32"/>
          <w:szCs w:val="32"/>
        </w:rPr>
      </w:pPr>
    </w:p>
    <w:p w14:paraId="11810F72">
      <w:pPr>
        <w:adjustRightInd w:val="0"/>
        <w:snapToGrid w:val="0"/>
        <w:spacing w:line="560" w:lineRule="exact"/>
        <w:ind w:firstLine="640" w:firstLineChars="200"/>
        <w:rPr>
          <w:rFonts w:ascii="仿宋_GB2312" w:eastAsia="仿宋_GB2312" w:cs="DengXian-Regular"/>
          <w:sz w:val="32"/>
          <w:szCs w:val="32"/>
        </w:rPr>
      </w:pPr>
    </w:p>
    <w:p w14:paraId="6D7B7928">
      <w:pPr>
        <w:adjustRightInd w:val="0"/>
        <w:snapToGrid w:val="0"/>
        <w:spacing w:line="560" w:lineRule="exact"/>
        <w:ind w:firstLine="640" w:firstLineChars="200"/>
        <w:rPr>
          <w:rFonts w:ascii="仿宋_GB2312" w:eastAsia="仿宋_GB2312" w:cs="DengXian-Regular"/>
          <w:sz w:val="32"/>
          <w:szCs w:val="32"/>
        </w:rPr>
      </w:pPr>
    </w:p>
    <w:p w14:paraId="736A2C70">
      <w:pPr>
        <w:adjustRightInd w:val="0"/>
        <w:snapToGrid w:val="0"/>
        <w:spacing w:line="560" w:lineRule="exact"/>
        <w:ind w:firstLine="640" w:firstLineChars="200"/>
        <w:rPr>
          <w:rFonts w:ascii="仿宋_GB2312" w:eastAsia="仿宋_GB2312" w:cs="DengXian-Regular"/>
          <w:sz w:val="32"/>
          <w:szCs w:val="32"/>
        </w:rPr>
      </w:pPr>
    </w:p>
    <w:p w14:paraId="03F4BC16">
      <w:pPr>
        <w:adjustRightInd w:val="0"/>
        <w:snapToGrid w:val="0"/>
        <w:spacing w:line="560" w:lineRule="exact"/>
        <w:ind w:firstLine="640" w:firstLineChars="200"/>
        <w:rPr>
          <w:rFonts w:ascii="仿宋_GB2312" w:eastAsia="仿宋_GB2312" w:cs="DengXian-Regular"/>
          <w:sz w:val="32"/>
          <w:szCs w:val="32"/>
        </w:rPr>
      </w:pPr>
    </w:p>
    <w:p w14:paraId="251CA8FD">
      <w:pPr>
        <w:adjustRightInd w:val="0"/>
        <w:snapToGrid w:val="0"/>
        <w:spacing w:line="560" w:lineRule="exact"/>
        <w:ind w:firstLine="640" w:firstLineChars="200"/>
        <w:rPr>
          <w:rFonts w:ascii="仿宋_GB2312" w:eastAsia="仿宋_GB2312" w:cs="DengXian-Regular"/>
          <w:sz w:val="32"/>
          <w:szCs w:val="32"/>
        </w:rPr>
      </w:pPr>
    </w:p>
    <w:p w14:paraId="10ED6604">
      <w:pPr>
        <w:adjustRightInd w:val="0"/>
        <w:snapToGrid w:val="0"/>
        <w:spacing w:line="560" w:lineRule="exact"/>
        <w:ind w:firstLine="640" w:firstLineChars="200"/>
        <w:rPr>
          <w:rFonts w:ascii="仿宋_GB2312" w:eastAsia="仿宋_GB2312" w:cs="DengXian-Regular"/>
          <w:sz w:val="32"/>
          <w:szCs w:val="32"/>
        </w:rPr>
      </w:pPr>
    </w:p>
    <w:p w14:paraId="31990C4F">
      <w:pPr>
        <w:adjustRightInd w:val="0"/>
        <w:snapToGrid w:val="0"/>
        <w:spacing w:after="0" w:line="560" w:lineRule="exact"/>
        <w:ind w:firstLine="640" w:firstLineChars="200"/>
        <w:rPr>
          <w:rFonts w:ascii="仿宋_GB2312" w:eastAsia="仿宋_GB2312" w:cs="DengXian-Regular"/>
          <w:sz w:val="32"/>
          <w:szCs w:val="32"/>
        </w:rPr>
      </w:pPr>
    </w:p>
    <w:p w14:paraId="5CAE4C7A">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14:paraId="4B9D51F7">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14:paraId="57026DEE">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12.79万元、本年收入3254.94万元；本年支出3250.57万元、年末结转和结余17.15万元。与2016年度决算相比，一般公共预算财政拨款本年收入增加443.11万元，增长13.63%，主要是增长人员工资标准；本年支出增加451.53万元，增长13.89%，主要是增长人员工资标准。</w:t>
      </w:r>
    </w:p>
    <w:p w14:paraId="562BD81D">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与2016年决算相比，收入增加443.11万元，支出增加451.53万元，主要原因是政策性增长人员工资标准。</w:t>
      </w:r>
    </w:p>
    <w:p w14:paraId="6F098288">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2B17771E">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419.31万元，降低11.41%，主要是决算中不包含年初预算安排的两庭建设资金300万元；本年支出减少423.68万元，降低11.53%，主要是决算中不包含年初预算安排的两庭建设资金300万元。</w:t>
      </w:r>
    </w:p>
    <w:p w14:paraId="1D42D9CE">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2017 年度财政拨款收支比初年预算数减少的主要原因是减少两庭建设资金300万元。</w:t>
      </w:r>
    </w:p>
    <w:p w14:paraId="05D97745">
      <w:pPr>
        <w:pStyle w:val="3"/>
        <w:spacing w:before="0" w:after="0" w:line="560" w:lineRule="exact"/>
        <w:ind w:firstLine="643" w:firstLineChars="200"/>
        <w:rPr>
          <w:rFonts w:ascii="黑体" w:eastAsia="黑体"/>
        </w:rPr>
      </w:pPr>
      <w:r>
        <w:rPr>
          <w:rFonts w:hint="eastAsia" w:ascii="黑体" w:eastAsia="黑体"/>
        </w:rPr>
        <w:t>五、“三公” 经费支出决算情况说明</w:t>
      </w:r>
      <w:r>
        <w:rPr>
          <w:rFonts w:hint="eastAsia" w:ascii="黑体" w:eastAsia="黑体"/>
          <w:highlight w:val="yellow"/>
        </w:rPr>
        <w:t>（本大项内所有三公相关数据均应和公开表09表内数据一致）</w:t>
      </w:r>
    </w:p>
    <w:p w14:paraId="5A351FAC">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本部门2017年度“三公”经费支出共计44.52万元，较年初预算减少6.48万元，降低12.7%，主要是认真落实中央八项规定精神和厉行节约要求，管理制度不断完善，“ 三公” 经费支出得到有效控制；较2016年度决算减少18.08万元，降低40.61%，主要是认真落实中央八项规定</w:t>
      </w:r>
      <w:bookmarkStart w:id="0" w:name="_GoBack"/>
      <w:bookmarkEnd w:id="0"/>
      <w:r>
        <w:rPr>
          <w:rFonts w:hint="eastAsia" w:ascii="仿宋_GB2312" w:eastAsia="仿宋_GB2312" w:cs="DengXian-Regular"/>
          <w:sz w:val="32"/>
          <w:szCs w:val="32"/>
        </w:rPr>
        <w:t>精神和厉行节约要求，管理制度不断完善，“ 三公” 经费支出得到有效控制。具体情况如下：</w:t>
      </w:r>
    </w:p>
    <w:p w14:paraId="74EB935F">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本部门2017年度参加其他单位组织的因公出国（境）团组0个、无本单位组织的出国（境）团组。因公出国（境）费支出较年初预算增加（减少）0万元，增长（降低）0%；较2016年度决算无增减变动。</w:t>
      </w:r>
    </w:p>
    <w:p w14:paraId="4F6ADA02">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（二）公务用车购置及运行维护费支出44万元。</w:t>
      </w:r>
      <w:r>
        <w:rPr>
          <w:rFonts w:hint="eastAsia" w:ascii="仿宋_GB2312" w:eastAsia="仿宋_GB2312" w:cs="DengXian-Regular"/>
          <w:sz w:val="32"/>
          <w:szCs w:val="32"/>
        </w:rPr>
        <w:t>本部门2017年度公务用车购置及运行维护费较年初预算减少0万元，降低0%；较2016年度决算减少18万元，降低29.03%,主要是一是加强公务用车管理，切实压缩公务用车费用支出；二是2017年公务车辆减少；三是2017年9月以后， 国一国二标准车辆限行，公务用车使用受到限制，费用也相应降低。</w:t>
      </w:r>
      <w:r>
        <w:rPr>
          <w:rFonts w:hint="eastAsia" w:ascii="仿宋_GB2312" w:eastAsia="仿宋_GB2312" w:cs="DengXian-Bold"/>
          <w:b/>
          <w:bCs/>
          <w:sz w:val="32"/>
          <w:szCs w:val="32"/>
        </w:rPr>
        <w:t>其中：</w:t>
      </w:r>
    </w:p>
    <w:p w14:paraId="13999394">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本部门2017年度公务用车购置量0辆，发生“公务用车购置”经费支出0万元。公务用车购置费支出较年初预算增加（减少）0万元；较2016年度决算无增减变化。</w:t>
      </w:r>
    </w:p>
    <w:p w14:paraId="28E01810">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16辆，特种车保有量4辆。公车运行维护费支出较年初预算无增减变化。较2016年度决算减少18万元，降低29.03%，主要是一是加强公务用车管理，切实压缩公务用车费用支出；二是2017年公务车辆减少；三是2017年9月以后， 国一国二标准车辆限行，公务用车使用受到限制，费用也相应降低。</w:t>
      </w:r>
    </w:p>
    <w:p w14:paraId="62254422">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（三）公务接待费支出0.52万元。</w:t>
      </w:r>
      <w:r>
        <w:rPr>
          <w:rFonts w:hint="eastAsia" w:ascii="仿宋_GB2312" w:eastAsia="仿宋_GB2312" w:cs="DengXian-Regular"/>
          <w:sz w:val="32"/>
          <w:szCs w:val="32"/>
        </w:rPr>
        <w:t>本部门2017年度公务接待共2批次、23人次。公务接待费支出较年初预算减少6.48万元，降低92.57%,主要是从严落实公务接待有关规定，进一步压缩公务接待费用支出；较2016年度决算减少3.52万元，降低99.44%,主要是从严落实公务接待有关规定，进一步压缩公务接待费用支出。</w:t>
      </w:r>
    </w:p>
    <w:p w14:paraId="07CC1E5E">
      <w:pPr>
        <w:pStyle w:val="3"/>
        <w:spacing w:before="0" w:after="0" w:line="50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六、绩效预算管理工作开展情况说明(以下内容必有，其他可以多)</w:t>
      </w:r>
    </w:p>
    <w:p w14:paraId="5911E865">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14:paraId="0FBEFB34">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案件审判管理和执行、案件判决执行、司法技术辅助等12个项目，涉及资金655.46万元。从评价情况看，评价结果为优秀的项目有10个，良好的项目有2个。</w:t>
      </w:r>
    </w:p>
    <w:p w14:paraId="189F6DC5">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6DA5BA6E">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院案件审判管理和执行项目绩效自评：本单位根据年初设定的绩效目标，案件审判管理和执行项目绩效自评结果为优秀，项目全年预算数为的预算数为921万元，执行数为655.46万元，完成预算的71.17%。主要产出和效果是完成案件收案数的结案率及案件判决结果的执行。</w:t>
      </w:r>
    </w:p>
    <w:p w14:paraId="07070C93">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14:paraId="4C8BCDF8">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322208E9">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本部门2017年度机关运行经费支出147.76万元，比2016年度增加53.53万元，增长56.63%。主要原因是增加人员公务交通补贴。</w:t>
      </w:r>
    </w:p>
    <w:p w14:paraId="2256CED1">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14:paraId="012ACC6A">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本部门2017年度政府采购支出总额46.25万元，其中：政府采购货物支出46.25万元、政府采购工程支出0万元、政府采购服务支出0万元。</w:t>
      </w:r>
    </w:p>
    <w:p w14:paraId="7A8D9148">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2A7BCD20">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截至2017年12月31日，本部门共有车辆20辆，其中，市级领导干部用车0辆、一般公务用车16辆、一般执法执勤用车0辆、特种专业技术用车4辆、其他用车0辆；单位价值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14:paraId="1A76A74E">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770FA890">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1、本部门2017年度无政府性基金收入支出、无国有资本经营收入支出，故政府性基金预算财政拨款收入支出决算表、国有资本经营预算财政拨款收入支出决算以空表列示。</w:t>
      </w:r>
    </w:p>
    <w:p w14:paraId="0C67E1F0">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14:paraId="242597CA">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14:paraId="36EC272D">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14:paraId="5370983A">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14:paraId="4144A52F">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14:paraId="25319963">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90BD090">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14:paraId="624CB71F">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14:paraId="253C95CF">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14:paraId="4046F8D3">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14:paraId="7D95CD27">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14:paraId="27DAA11A">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5D291FF">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14:paraId="4D702AD4">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5312DADB">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14:paraId="10EE4137">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14:paraId="12C2A1BA">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14:paraId="1B34D1ED">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DD2C3F"/>
    <w:multiLevelType w:val="multilevel"/>
    <w:tmpl w:val="31DD2C3F"/>
    <w:lvl w:ilvl="0" w:tentative="0">
      <w:start w:val="1"/>
      <w:numFmt w:val="japaneseCounting"/>
      <w:lvlText w:val="%1、"/>
      <w:lvlJc w:val="left"/>
      <w:pPr>
        <w:ind w:left="1680" w:hanging="720"/>
      </w:pPr>
      <w:rPr>
        <w:rFonts w:hint="default"/>
      </w:rPr>
    </w:lvl>
    <w:lvl w:ilvl="1" w:tentative="0">
      <w:start w:val="1"/>
      <w:numFmt w:val="lowerLetter"/>
      <w:lvlText w:val="%2)"/>
      <w:lvlJc w:val="left"/>
      <w:pPr>
        <w:ind w:left="1800" w:hanging="420"/>
      </w:pPr>
    </w:lvl>
    <w:lvl w:ilvl="2" w:tentative="0">
      <w:start w:val="1"/>
      <w:numFmt w:val="lowerRoman"/>
      <w:lvlText w:val="%3."/>
      <w:lvlJc w:val="right"/>
      <w:pPr>
        <w:ind w:left="2220" w:hanging="420"/>
      </w:pPr>
    </w:lvl>
    <w:lvl w:ilvl="3" w:tentative="0">
      <w:start w:val="1"/>
      <w:numFmt w:val="decimal"/>
      <w:lvlText w:val="%4."/>
      <w:lvlJc w:val="left"/>
      <w:pPr>
        <w:ind w:left="2640" w:hanging="420"/>
      </w:pPr>
    </w:lvl>
    <w:lvl w:ilvl="4" w:tentative="0">
      <w:start w:val="1"/>
      <w:numFmt w:val="lowerLetter"/>
      <w:lvlText w:val="%5)"/>
      <w:lvlJc w:val="left"/>
      <w:pPr>
        <w:ind w:left="3060" w:hanging="420"/>
      </w:pPr>
    </w:lvl>
    <w:lvl w:ilvl="5" w:tentative="0">
      <w:start w:val="1"/>
      <w:numFmt w:val="lowerRoman"/>
      <w:lvlText w:val="%6."/>
      <w:lvlJc w:val="right"/>
      <w:pPr>
        <w:ind w:left="3480" w:hanging="420"/>
      </w:pPr>
    </w:lvl>
    <w:lvl w:ilvl="6" w:tentative="0">
      <w:start w:val="1"/>
      <w:numFmt w:val="decimal"/>
      <w:lvlText w:val="%7."/>
      <w:lvlJc w:val="left"/>
      <w:pPr>
        <w:ind w:left="3900" w:hanging="420"/>
      </w:pPr>
    </w:lvl>
    <w:lvl w:ilvl="7" w:tentative="0">
      <w:start w:val="1"/>
      <w:numFmt w:val="lowerLetter"/>
      <w:lvlText w:val="%8)"/>
      <w:lvlJc w:val="left"/>
      <w:pPr>
        <w:ind w:left="4320" w:hanging="420"/>
      </w:pPr>
    </w:lvl>
    <w:lvl w:ilvl="8" w:tentative="0">
      <w:start w:val="1"/>
      <w:numFmt w:val="lowerRoman"/>
      <w:lvlText w:val="%9."/>
      <w:lvlJc w:val="right"/>
      <w:pPr>
        <w:ind w:left="47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3C1413"/>
    <w:rsid w:val="00024E7F"/>
    <w:rsid w:val="000475A0"/>
    <w:rsid w:val="000E2F81"/>
    <w:rsid w:val="000F3238"/>
    <w:rsid w:val="0011713C"/>
    <w:rsid w:val="00146C47"/>
    <w:rsid w:val="00152FB8"/>
    <w:rsid w:val="00185B66"/>
    <w:rsid w:val="001B28CB"/>
    <w:rsid w:val="001B3410"/>
    <w:rsid w:val="001C030D"/>
    <w:rsid w:val="001F0368"/>
    <w:rsid w:val="00276436"/>
    <w:rsid w:val="002C04C4"/>
    <w:rsid w:val="002D08B0"/>
    <w:rsid w:val="00326846"/>
    <w:rsid w:val="00341C8F"/>
    <w:rsid w:val="00391D9D"/>
    <w:rsid w:val="003B6C51"/>
    <w:rsid w:val="003C1413"/>
    <w:rsid w:val="003C549F"/>
    <w:rsid w:val="003D5A16"/>
    <w:rsid w:val="004453BF"/>
    <w:rsid w:val="00465736"/>
    <w:rsid w:val="004A268B"/>
    <w:rsid w:val="00522C9D"/>
    <w:rsid w:val="00543786"/>
    <w:rsid w:val="00547890"/>
    <w:rsid w:val="005F4B66"/>
    <w:rsid w:val="00627975"/>
    <w:rsid w:val="00641318"/>
    <w:rsid w:val="0070012A"/>
    <w:rsid w:val="0070664B"/>
    <w:rsid w:val="007071B8"/>
    <w:rsid w:val="00717927"/>
    <w:rsid w:val="00732FD2"/>
    <w:rsid w:val="007414DE"/>
    <w:rsid w:val="007905A9"/>
    <w:rsid w:val="007D0D9E"/>
    <w:rsid w:val="007E5500"/>
    <w:rsid w:val="00840A97"/>
    <w:rsid w:val="008B1AA6"/>
    <w:rsid w:val="008B6A0D"/>
    <w:rsid w:val="008C0149"/>
    <w:rsid w:val="008F2E78"/>
    <w:rsid w:val="009239D3"/>
    <w:rsid w:val="009A1ABE"/>
    <w:rsid w:val="00A35CE0"/>
    <w:rsid w:val="00A44AA4"/>
    <w:rsid w:val="00A46DEC"/>
    <w:rsid w:val="00A61623"/>
    <w:rsid w:val="00A66F71"/>
    <w:rsid w:val="00A84687"/>
    <w:rsid w:val="00AA4563"/>
    <w:rsid w:val="00AD3B6E"/>
    <w:rsid w:val="00AE7152"/>
    <w:rsid w:val="00B56722"/>
    <w:rsid w:val="00B86BE8"/>
    <w:rsid w:val="00C3774E"/>
    <w:rsid w:val="00C87FAB"/>
    <w:rsid w:val="00C91FF7"/>
    <w:rsid w:val="00C94E53"/>
    <w:rsid w:val="00CA4E64"/>
    <w:rsid w:val="00D224EE"/>
    <w:rsid w:val="00DA0475"/>
    <w:rsid w:val="00DA09C7"/>
    <w:rsid w:val="00DB35AF"/>
    <w:rsid w:val="00DD6D2E"/>
    <w:rsid w:val="00DF5B88"/>
    <w:rsid w:val="00E2595E"/>
    <w:rsid w:val="00E35374"/>
    <w:rsid w:val="00E50C19"/>
    <w:rsid w:val="00E856C9"/>
    <w:rsid w:val="00E96CA8"/>
    <w:rsid w:val="00EB6A8B"/>
    <w:rsid w:val="00EF38C6"/>
    <w:rsid w:val="00F64737"/>
    <w:rsid w:val="00FA1667"/>
    <w:rsid w:val="00FE3DC8"/>
    <w:rsid w:val="47163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uiPriority w:val="99"/>
    <w:pPr>
      <w:ind w:left="100" w:leftChars="2500"/>
    </w:pPr>
  </w:style>
  <w:style w:type="paragraph" w:styleId="7">
    <w:name w:val="Balloon Text"/>
    <w:basedOn w:val="1"/>
    <w:link w:val="19"/>
    <w:semiHidden/>
    <w:unhideWhenUsed/>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8">
    <w:name w:val="无间隔 Char"/>
    <w:basedOn w:val="14"/>
    <w:link w:val="17"/>
    <w:uiPriority w:val="1"/>
    <w:rPr>
      <w:kern w:val="0"/>
      <w:sz w:val="22"/>
    </w:rPr>
  </w:style>
  <w:style w:type="character" w:customStyle="1" w:styleId="19">
    <w:name w:val="批注框文本 Char"/>
    <w:basedOn w:val="14"/>
    <w:link w:val="7"/>
    <w:semiHidden/>
    <w:uiPriority w:val="99"/>
    <w:rPr>
      <w:rFonts w:ascii="Times New Roman" w:hAnsi="Times New Roman" w:eastAsia="宋体" w:cs="Times New Roman"/>
      <w:sz w:val="18"/>
      <w:szCs w:val="18"/>
    </w:rPr>
  </w:style>
  <w:style w:type="character" w:customStyle="1" w:styleId="20">
    <w:name w:val="标题 Char"/>
    <w:basedOn w:val="14"/>
    <w:link w:val="11"/>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uiPriority w:val="1"/>
    <w:rPr>
      <w:rFonts w:asciiTheme="minorHAnsi" w:hAnsiTheme="minorEastAsia" w:eastAsiaTheme="minorEastAsia" w:cstheme="minorBidi"/>
      <w:sz w:val="22"/>
      <w:szCs w:val="22"/>
      <w:lang w:eastAsia="zh-CN"/>
    </w:rPr>
  </w:style>
  <w:style w:type="character" w:customStyle="1" w:styleId="23">
    <w:name w:val="Style2"/>
    <w:basedOn w:val="14"/>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uiPriority w:val="1"/>
    <w:rPr>
      <w:rFonts w:asciiTheme="minorHAnsi" w:hAnsiTheme="minorEastAsia" w:eastAsiaTheme="minorEastAsia" w:cstheme="minorBidi"/>
      <w:szCs w:val="22"/>
      <w:lang w:eastAsia="zh-CN"/>
    </w:rPr>
  </w:style>
  <w:style w:type="character" w:customStyle="1" w:styleId="26">
    <w:name w:val="Style5"/>
    <w:basedOn w:val="14"/>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uiPriority w:val="9"/>
    <w:rPr>
      <w:rFonts w:ascii="Times New Roman" w:hAnsi="Times New Roman" w:eastAsia="宋体" w:cs="Times New Roman"/>
      <w:b/>
      <w:bCs/>
      <w:kern w:val="44"/>
      <w:sz w:val="44"/>
      <w:szCs w:val="44"/>
    </w:rPr>
  </w:style>
  <w:style w:type="character" w:customStyle="1" w:styleId="28">
    <w:name w:val="标题 2 Char"/>
    <w:basedOn w:val="14"/>
    <w:link w:val="3"/>
    <w:uiPriority w:val="9"/>
    <w:rPr>
      <w:rFonts w:asciiTheme="majorHAnsi" w:hAnsiTheme="majorHAnsi" w:eastAsiaTheme="majorEastAsia" w:cstheme="majorBidi"/>
      <w:b/>
      <w:bCs/>
      <w:sz w:val="32"/>
      <w:szCs w:val="32"/>
    </w:rPr>
  </w:style>
  <w:style w:type="character" w:customStyle="1" w:styleId="29">
    <w:name w:val="标题 3 Char"/>
    <w:basedOn w:val="14"/>
    <w:link w:val="4"/>
    <w:uiPriority w:val="9"/>
    <w:rPr>
      <w:rFonts w:ascii="Times New Roman" w:hAnsi="Times New Roman" w:eastAsia="宋体" w:cs="Times New Roman"/>
      <w:b/>
      <w:bCs/>
      <w:sz w:val="32"/>
      <w:szCs w:val="32"/>
    </w:rPr>
  </w:style>
  <w:style w:type="character" w:customStyle="1" w:styleId="30">
    <w:name w:val="标题 4 Char"/>
    <w:basedOn w:val="14"/>
    <w:link w:val="5"/>
    <w:uiPriority w:val="9"/>
    <w:rPr>
      <w:rFonts w:asciiTheme="majorHAnsi" w:hAnsiTheme="majorHAnsi" w:eastAsiaTheme="majorEastAsia" w:cstheme="majorBidi"/>
      <w:b/>
      <w:bCs/>
      <w:sz w:val="28"/>
      <w:szCs w:val="28"/>
    </w:rPr>
  </w:style>
  <w:style w:type="character" w:customStyle="1" w:styleId="31">
    <w:name w:val="日期 Char"/>
    <w:basedOn w:val="14"/>
    <w:link w:val="6"/>
    <w:semiHidden/>
    <w:uiPriority w:val="99"/>
    <w:rPr>
      <w:rFonts w:ascii="Times New Roman" w:hAnsi="Times New Roman" w:eastAsia="宋体" w:cs="Times New Roman"/>
      <w:szCs w:val="24"/>
    </w:rPr>
  </w:style>
  <w:style w:type="paragraph" w:styleId="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66C8DD2A-19EB-4F24-9384-52B6D846F548}">
  <ds:schemaRefs/>
</ds:datastoreItem>
</file>

<file path=customXml/itemProps2.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4582</Words>
  <Characters>4987</Characters>
  <Lines>36</Lines>
  <Paragraphs>10</Paragraphs>
  <TotalTime>279</TotalTime>
  <ScaleCrop>false</ScaleCrop>
  <LinksUpToDate>false</LinksUpToDate>
  <CharactersWithSpaces>5023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2019-01-23T08:58:00Z</dcterms:created>
  <dc:creator>User</dc:creator>
  <cp:lastModifiedBy> </cp:lastModifiedBy>
  <dcterms:modified xsi:type="dcterms:W3CDTF">2024-08-09T06:23:36Z</dcterms:modified>
  <dc:subject>石家庄市xxx部门</dc:subject>
  <dc:title>2017年度部门决算</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2B81A423F5424A1C81DE31773875AC8F_12</vt:lpwstr>
  </property>
</Properties>
</file>