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39D420">
      <w:pPr>
        <w:pStyle w:val="22"/>
        <w:ind w:left="360" w:firstLine="0" w:firstLineChars="0"/>
        <w:rPr>
          <w:b/>
          <w:sz w:val="72"/>
          <w:szCs w:val="72"/>
        </w:rPr>
      </w:pPr>
    </w:p>
    <w:p w14:paraId="7D5CF284">
      <w:pPr>
        <w:pStyle w:val="22"/>
        <w:ind w:left="360" w:firstLine="0" w:firstLineChars="0"/>
        <w:rPr>
          <w:b/>
          <w:sz w:val="72"/>
          <w:szCs w:val="72"/>
        </w:rPr>
      </w:pPr>
    </w:p>
    <w:p w14:paraId="24CA7FAB">
      <w:pPr>
        <w:pStyle w:val="22"/>
        <w:ind w:left="360" w:firstLine="0" w:firstLineChars="0"/>
        <w:rPr>
          <w:b/>
          <w:sz w:val="72"/>
          <w:szCs w:val="72"/>
        </w:rPr>
      </w:pPr>
      <w:r>
        <w:rPr>
          <w:rFonts w:hint="eastAsia"/>
          <w:b/>
          <w:sz w:val="72"/>
          <w:szCs w:val="72"/>
        </w:rPr>
        <w:t>2017年度部门决算公开</w:t>
      </w:r>
    </w:p>
    <w:p w14:paraId="13C46652">
      <w:pPr>
        <w:pStyle w:val="22"/>
        <w:ind w:left="360" w:firstLine="0" w:firstLineChars="0"/>
        <w:rPr>
          <w:b/>
          <w:sz w:val="72"/>
          <w:szCs w:val="72"/>
        </w:rPr>
      </w:pPr>
    </w:p>
    <w:p w14:paraId="76584F97">
      <w:pPr>
        <w:pStyle w:val="22"/>
        <w:ind w:left="360" w:firstLine="0" w:firstLineChars="0"/>
        <w:rPr>
          <w:sz w:val="72"/>
          <w:szCs w:val="72"/>
        </w:rPr>
      </w:pPr>
    </w:p>
    <w:p w14:paraId="4EC765BE">
      <w:pPr>
        <w:pStyle w:val="22"/>
        <w:ind w:left="360" w:firstLine="0" w:firstLineChars="0"/>
        <w:rPr>
          <w:sz w:val="72"/>
          <w:szCs w:val="72"/>
        </w:rPr>
      </w:pPr>
    </w:p>
    <w:p w14:paraId="2F7B1DA5">
      <w:pPr>
        <w:pStyle w:val="22"/>
        <w:ind w:left="360" w:firstLine="0" w:firstLineChars="0"/>
        <w:rPr>
          <w:sz w:val="72"/>
          <w:szCs w:val="72"/>
        </w:rPr>
      </w:pPr>
    </w:p>
    <w:p w14:paraId="18125EF9">
      <w:pPr>
        <w:rPr>
          <w:sz w:val="72"/>
          <w:szCs w:val="72"/>
        </w:rPr>
      </w:pPr>
    </w:p>
    <w:p w14:paraId="0F3336FD">
      <w:pPr>
        <w:rPr>
          <w:sz w:val="72"/>
          <w:szCs w:val="72"/>
        </w:rPr>
      </w:pPr>
    </w:p>
    <w:p w14:paraId="6B82613F">
      <w:pPr>
        <w:rPr>
          <w:sz w:val="72"/>
          <w:szCs w:val="72"/>
        </w:rPr>
      </w:pPr>
    </w:p>
    <w:p w14:paraId="4E95DFAF">
      <w:pPr>
        <w:rPr>
          <w:sz w:val="72"/>
          <w:szCs w:val="72"/>
        </w:rPr>
      </w:pPr>
    </w:p>
    <w:p w14:paraId="6A8C5C3F">
      <w:pPr>
        <w:rPr>
          <w:sz w:val="72"/>
          <w:szCs w:val="72"/>
        </w:rPr>
      </w:pPr>
    </w:p>
    <w:p w14:paraId="1785621B">
      <w:pPr>
        <w:pStyle w:val="22"/>
        <w:ind w:left="360" w:firstLine="0" w:firstLineChars="0"/>
        <w:jc w:val="center"/>
        <w:rPr>
          <w:b/>
          <w:sz w:val="44"/>
          <w:szCs w:val="44"/>
        </w:rPr>
      </w:pPr>
      <w:r>
        <w:rPr>
          <w:rFonts w:hint="eastAsia"/>
          <w:b/>
          <w:sz w:val="44"/>
          <w:szCs w:val="44"/>
        </w:rPr>
        <w:t>藁城区兴安镇人民政府</w:t>
      </w:r>
    </w:p>
    <w:p w14:paraId="31A0F920">
      <w:pPr>
        <w:pStyle w:val="22"/>
        <w:ind w:left="360" w:firstLine="0" w:firstLineChars="0"/>
        <w:jc w:val="center"/>
      </w:pPr>
      <w:r>
        <w:rPr>
          <w:rFonts w:hint="eastAsia"/>
          <w:b/>
          <w:sz w:val="44"/>
          <w:szCs w:val="44"/>
        </w:rPr>
        <w:t>2018年10月12日</w:t>
      </w:r>
    </w:p>
    <w:p w14:paraId="6DD56F1F">
      <w:pPr>
        <w:pStyle w:val="2"/>
        <w:jc w:val="center"/>
      </w:pPr>
      <w:r>
        <w:rPr>
          <w:rFonts w:hint="eastAsia"/>
        </w:rPr>
        <w:t>部门决算公开目录</w:t>
      </w:r>
    </w:p>
    <w:p w14:paraId="4238AA8B">
      <w:pPr>
        <w:rPr>
          <w:rFonts w:asciiTheme="minorEastAsia" w:hAnsiTheme="minorEastAsia"/>
          <w:b/>
          <w:sz w:val="36"/>
          <w:szCs w:val="36"/>
        </w:rPr>
      </w:pPr>
      <w:r>
        <w:rPr>
          <w:rFonts w:hint="eastAsia" w:asciiTheme="minorEastAsia" w:hAnsiTheme="minorEastAsia"/>
          <w:b/>
          <w:sz w:val="36"/>
          <w:szCs w:val="36"/>
        </w:rPr>
        <w:t>第一部分 部门概况</w:t>
      </w:r>
    </w:p>
    <w:p w14:paraId="0F09CD6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一、主要职责</w:t>
      </w:r>
    </w:p>
    <w:p w14:paraId="07BBC15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二、部门预算单位构成</w:t>
      </w:r>
    </w:p>
    <w:p w14:paraId="75385DD8">
      <w:pPr>
        <w:rPr>
          <w:rFonts w:asciiTheme="minorEastAsia" w:hAnsiTheme="minorEastAsia"/>
          <w:b/>
          <w:sz w:val="36"/>
          <w:szCs w:val="36"/>
        </w:rPr>
      </w:pPr>
      <w:r>
        <w:rPr>
          <w:rFonts w:hint="eastAsia" w:asciiTheme="minorEastAsia" w:hAnsiTheme="minorEastAsia"/>
          <w:b/>
          <w:sz w:val="36"/>
          <w:szCs w:val="36"/>
        </w:rPr>
        <w:t>第二部分 2017年度部门决算报表</w:t>
      </w:r>
    </w:p>
    <w:p w14:paraId="3D6240D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010D05E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5788B58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4A0E6F2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2DD06A8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1FF01A2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19422A0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066C11E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0A72FF0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69F89B8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5B862A4C">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14:paraId="73D334D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14:paraId="2392BD5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14:paraId="19D6DEB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14:paraId="464C8AE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14:paraId="6522066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 三公” 经费支出决算情况说明</w:t>
      </w:r>
    </w:p>
    <w:p w14:paraId="4800599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14:paraId="7818E57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14:paraId="755CACED">
      <w:pPr>
        <w:spacing w:line="360" w:lineRule="auto"/>
        <w:ind w:firstLine="1500" w:firstLineChars="500"/>
        <w:rPr>
          <w:sz w:val="30"/>
          <w:szCs w:val="30"/>
        </w:rPr>
      </w:pPr>
      <w:r>
        <w:rPr>
          <w:rFonts w:hint="eastAsia"/>
          <w:sz w:val="30"/>
          <w:szCs w:val="30"/>
        </w:rPr>
        <w:t>1、 机关运行经费情况</w:t>
      </w:r>
    </w:p>
    <w:p w14:paraId="093DE8B9">
      <w:pPr>
        <w:spacing w:line="360" w:lineRule="auto"/>
        <w:ind w:firstLine="1500" w:firstLineChars="500"/>
        <w:rPr>
          <w:sz w:val="30"/>
          <w:szCs w:val="30"/>
        </w:rPr>
      </w:pPr>
      <w:r>
        <w:rPr>
          <w:rFonts w:hint="eastAsia"/>
          <w:sz w:val="30"/>
          <w:szCs w:val="30"/>
        </w:rPr>
        <w:t>2、 政府采购情况</w:t>
      </w:r>
    </w:p>
    <w:p w14:paraId="7CB25314">
      <w:pPr>
        <w:spacing w:line="360" w:lineRule="auto"/>
        <w:ind w:firstLine="1500" w:firstLineChars="500"/>
        <w:rPr>
          <w:sz w:val="30"/>
          <w:szCs w:val="30"/>
        </w:rPr>
      </w:pPr>
      <w:r>
        <w:rPr>
          <w:rFonts w:hint="eastAsia"/>
          <w:sz w:val="30"/>
          <w:szCs w:val="30"/>
        </w:rPr>
        <w:t>3、国有资产占用情况</w:t>
      </w:r>
    </w:p>
    <w:p w14:paraId="6667F38D">
      <w:pPr>
        <w:rPr>
          <w:rFonts w:asciiTheme="minorEastAsia" w:hAnsiTheme="minorEastAsia"/>
          <w:b/>
          <w:sz w:val="36"/>
          <w:szCs w:val="36"/>
        </w:rPr>
      </w:pPr>
      <w:r>
        <w:rPr>
          <w:rFonts w:hint="eastAsia" w:asciiTheme="minorEastAsia" w:hAnsiTheme="minorEastAsia"/>
          <w:b/>
          <w:sz w:val="36"/>
          <w:szCs w:val="36"/>
        </w:rPr>
        <w:t>第四部分 名词解释</w:t>
      </w:r>
    </w:p>
    <w:p w14:paraId="2134CB8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14:paraId="1CA466E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14:paraId="75268D0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14:paraId="3E54E00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14:paraId="0D49EB3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14:paraId="70FCEDE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14:paraId="5453B9B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14:paraId="6F4471A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14:paraId="1AB79C0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14:paraId="3DE6BFF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14:paraId="6DF4EAE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14:paraId="69652B6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14:paraId="53152B6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14:paraId="448F37A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14:paraId="09A9C2E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14:paraId="0953F2A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14:paraId="758B3495">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藁城区兴安镇人民政府2017年决算</w:t>
      </w:r>
    </w:p>
    <w:p w14:paraId="1B539CA1">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公开信息</w:t>
      </w:r>
    </w:p>
    <w:p w14:paraId="02334805">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第一部分 部门概况</w:t>
      </w:r>
    </w:p>
    <w:p w14:paraId="4F417F1C">
      <w:pPr>
        <w:rPr>
          <w:b/>
          <w:sz w:val="36"/>
          <w:szCs w:val="36"/>
        </w:rPr>
      </w:pPr>
      <w:r>
        <w:rPr>
          <w:rFonts w:hint="eastAsia"/>
          <w:b/>
          <w:sz w:val="36"/>
          <w:szCs w:val="36"/>
        </w:rPr>
        <w:t>一、 部门职责</w:t>
      </w:r>
    </w:p>
    <w:p w14:paraId="696BEC01">
      <w:pPr>
        <w:ind w:firstLine="627" w:firstLineChars="196"/>
        <w:rPr>
          <w:rFonts w:ascii="仿宋_GB2312"/>
          <w:sz w:val="32"/>
          <w:szCs w:val="32"/>
        </w:rPr>
      </w:pPr>
      <w:r>
        <w:rPr>
          <w:rFonts w:hint="eastAsia" w:ascii="仿宋_GB2312"/>
          <w:sz w:val="32"/>
          <w:szCs w:val="32"/>
        </w:rPr>
        <w:t>政务管理：依法依规履行机关日常管理职责，确保政府工作正常运行。做好各类突发事件的应急管理工作，确保遇突发事件能够及时有效应对。</w:t>
      </w:r>
    </w:p>
    <w:p w14:paraId="4288B89D">
      <w:pPr>
        <w:ind w:firstLine="640"/>
        <w:rPr>
          <w:rFonts w:ascii="仿宋_GB2312"/>
          <w:sz w:val="32"/>
          <w:szCs w:val="32"/>
        </w:rPr>
      </w:pPr>
      <w:r>
        <w:rPr>
          <w:rFonts w:hint="eastAsia" w:ascii="仿宋_GB2312"/>
          <w:sz w:val="32"/>
          <w:szCs w:val="32"/>
        </w:rPr>
        <w:t>经济发展：制定经济发展规划，促进民营企业发展，招商引资，发展支柱产业。</w:t>
      </w:r>
    </w:p>
    <w:p w14:paraId="53498547">
      <w:pPr>
        <w:ind w:firstLine="640"/>
        <w:rPr>
          <w:rFonts w:ascii="仿宋_GB2312"/>
          <w:sz w:val="32"/>
          <w:szCs w:val="32"/>
        </w:rPr>
      </w:pPr>
      <w:r>
        <w:rPr>
          <w:rFonts w:hint="eastAsia" w:ascii="仿宋_GB2312"/>
          <w:sz w:val="32"/>
          <w:szCs w:val="32"/>
        </w:rPr>
        <w:t>维护社会稳定和国家安全:提高社会综合治理能力，预防减少不稳定因素的发生，做好信访维稳工作，有效化解不稳定隐患、群体性事件和突发事件。</w:t>
      </w:r>
    </w:p>
    <w:p w14:paraId="0B450A58">
      <w:pPr>
        <w:ind w:firstLine="640"/>
        <w:rPr>
          <w:rFonts w:ascii="仿宋_GB2312"/>
          <w:sz w:val="32"/>
          <w:szCs w:val="32"/>
        </w:rPr>
      </w:pPr>
      <w:r>
        <w:rPr>
          <w:rFonts w:hint="eastAsia" w:ascii="仿宋_GB2312"/>
          <w:sz w:val="32"/>
          <w:szCs w:val="32"/>
        </w:rPr>
        <w:t>社会救助政策及管理：承担社会救助体系建设，负责农村居民最低生活保障、五保供养、医疗救助。</w:t>
      </w:r>
    </w:p>
    <w:p w14:paraId="3B863768">
      <w:pPr>
        <w:ind w:firstLine="720" w:firstLineChars="225"/>
        <w:rPr>
          <w:rFonts w:ascii="仿宋_GB2312"/>
          <w:sz w:val="32"/>
          <w:szCs w:val="32"/>
        </w:rPr>
      </w:pPr>
      <w:r>
        <w:rPr>
          <w:rFonts w:hint="eastAsia" w:ascii="仿宋_GB2312"/>
          <w:sz w:val="32"/>
          <w:szCs w:val="32"/>
        </w:rPr>
        <w:t>加强土地管理：依法依规监督土地使用，配合上级土管部门治理违规使用土地情况</w:t>
      </w:r>
    </w:p>
    <w:p w14:paraId="7CE1C40B">
      <w:pPr>
        <w:ind w:firstLine="720" w:firstLineChars="225"/>
        <w:rPr>
          <w:rFonts w:ascii="仿宋_GB2312"/>
          <w:sz w:val="32"/>
          <w:szCs w:val="32"/>
        </w:rPr>
      </w:pPr>
      <w:r>
        <w:rPr>
          <w:rFonts w:hint="eastAsia" w:ascii="仿宋_GB2312"/>
          <w:sz w:val="32"/>
          <w:szCs w:val="32"/>
        </w:rPr>
        <w:t>环境保护与治理：积极配合执法部门依法治理大气、水、土地等污染。</w:t>
      </w:r>
    </w:p>
    <w:p w14:paraId="565AC82C">
      <w:pPr>
        <w:ind w:firstLine="720" w:firstLineChars="225"/>
        <w:rPr>
          <w:rFonts w:ascii="仿宋_GB2312"/>
          <w:sz w:val="32"/>
          <w:szCs w:val="32"/>
        </w:rPr>
      </w:pPr>
      <w:r>
        <w:rPr>
          <w:rFonts w:hint="eastAsia" w:ascii="仿宋_GB2312"/>
          <w:sz w:val="32"/>
          <w:szCs w:val="32"/>
        </w:rPr>
        <w:t>食品安全管理：配合执法部门依法进行食品安全管理对辖区内食品药品等进行监管。</w:t>
      </w:r>
    </w:p>
    <w:p w14:paraId="294FFEBF">
      <w:pPr>
        <w:ind w:firstLine="720" w:firstLineChars="225"/>
        <w:rPr>
          <w:rFonts w:ascii="仿宋_GB2312"/>
          <w:sz w:val="32"/>
          <w:szCs w:val="32"/>
        </w:rPr>
      </w:pPr>
      <w:r>
        <w:rPr>
          <w:rFonts w:hint="eastAsia" w:ascii="仿宋_GB2312"/>
          <w:sz w:val="32"/>
          <w:szCs w:val="32"/>
        </w:rPr>
        <w:t>安全生产：创新和转变监管方式，构建长效机制，推动企业落实安全生产主体责任，提高企业安全生产管理水平，有效预防和减少各类生产安全事故的发生。</w:t>
      </w:r>
    </w:p>
    <w:p w14:paraId="08CB6E92">
      <w:pPr>
        <w:ind w:firstLine="720" w:firstLineChars="225"/>
        <w:rPr>
          <w:rFonts w:ascii="仿宋_GB2312"/>
          <w:sz w:val="32"/>
          <w:szCs w:val="32"/>
        </w:rPr>
      </w:pPr>
      <w:r>
        <w:rPr>
          <w:rFonts w:hint="eastAsia" w:ascii="仿宋_GB2312"/>
          <w:sz w:val="32"/>
          <w:szCs w:val="32"/>
        </w:rPr>
        <w:t>农村管理及综合改革：农村村容村貌维护提升，保障农村基层党支部和村委会正常运行及业务开展，全面推进农村综合改革提供组织保障</w:t>
      </w:r>
    </w:p>
    <w:p w14:paraId="1625738A">
      <w:pPr>
        <w:ind w:firstLine="720" w:firstLineChars="225"/>
        <w:rPr>
          <w:rFonts w:ascii="仿宋_GB2312"/>
          <w:sz w:val="32"/>
          <w:szCs w:val="32"/>
        </w:rPr>
      </w:pPr>
      <w:r>
        <w:rPr>
          <w:rFonts w:hint="eastAsia" w:ascii="仿宋_GB2312"/>
          <w:sz w:val="32"/>
          <w:szCs w:val="32"/>
        </w:rPr>
        <w:t>农业生产：发挥农业科技支撑作用，通过新技术成果的展示，辐射带动全镇适宜区域的农业行业技术推广应用，加强对动植物疫病的控制，建设防灾、减灾体系。</w:t>
      </w:r>
    </w:p>
    <w:p w14:paraId="2A6B8495">
      <w:pPr>
        <w:ind w:firstLine="720" w:firstLineChars="225"/>
        <w:rPr>
          <w:rFonts w:ascii="仿宋_GB2312"/>
          <w:sz w:val="32"/>
          <w:szCs w:val="32"/>
        </w:rPr>
      </w:pPr>
      <w:r>
        <w:rPr>
          <w:rFonts w:hint="eastAsia" w:ascii="仿宋_GB2312"/>
          <w:sz w:val="32"/>
          <w:szCs w:val="32"/>
        </w:rPr>
        <w:t>城镇建设：城乡公共设施建设、美丽乡村建设、创建文明城市，污水处理、垃圾处理、厕所改造、村庄绿化、危房改造、饮水安全、道路硬化、绿化、亮化等，农村面貌改造有效提升。</w:t>
      </w:r>
    </w:p>
    <w:p w14:paraId="46D3F5AE">
      <w:pPr>
        <w:ind w:firstLine="720" w:firstLineChars="225"/>
        <w:rPr>
          <w:rFonts w:ascii="仿宋_GB2312"/>
          <w:sz w:val="32"/>
          <w:szCs w:val="32"/>
        </w:rPr>
      </w:pPr>
      <w:r>
        <w:rPr>
          <w:rFonts w:hint="eastAsia" w:ascii="仿宋_GB2312"/>
          <w:sz w:val="32"/>
          <w:szCs w:val="32"/>
        </w:rPr>
        <w:t>文教卫生：配合教育、科技、文体、卫生等部门搞好义务教育，保障中小学正常运转，普及推广科学技术，做好计生服务宣传计划生育政策，丰富农村文化生活，推行合作医疗。</w:t>
      </w:r>
    </w:p>
    <w:p w14:paraId="28CCCB61">
      <w:pPr>
        <w:rPr>
          <w:b/>
          <w:sz w:val="36"/>
          <w:szCs w:val="36"/>
        </w:rPr>
      </w:pPr>
    </w:p>
    <w:p w14:paraId="4F52EA6F">
      <w:pPr>
        <w:rPr>
          <w:b/>
          <w:sz w:val="36"/>
          <w:szCs w:val="36"/>
        </w:rPr>
      </w:pPr>
      <w:r>
        <w:rPr>
          <w:rFonts w:hint="eastAsia"/>
          <w:b/>
          <w:sz w:val="36"/>
          <w:szCs w:val="36"/>
        </w:rPr>
        <w:t>二、部门决算单位构成</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14:paraId="483A2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7C19A136">
            <w:pPr>
              <w:jc w:val="center"/>
              <w:rPr>
                <w:sz w:val="24"/>
                <w:szCs w:val="24"/>
              </w:rPr>
            </w:pPr>
            <w:r>
              <w:rPr>
                <w:rFonts w:hint="eastAsia"/>
                <w:sz w:val="24"/>
                <w:szCs w:val="24"/>
              </w:rPr>
              <w:t>单位名称</w:t>
            </w:r>
          </w:p>
        </w:tc>
        <w:tc>
          <w:tcPr>
            <w:tcW w:w="2130" w:type="dxa"/>
            <w:vAlign w:val="center"/>
          </w:tcPr>
          <w:p w14:paraId="3838BE0D">
            <w:pPr>
              <w:jc w:val="center"/>
              <w:rPr>
                <w:sz w:val="24"/>
                <w:szCs w:val="24"/>
              </w:rPr>
            </w:pPr>
            <w:r>
              <w:rPr>
                <w:rFonts w:hint="eastAsia"/>
                <w:sz w:val="24"/>
                <w:szCs w:val="24"/>
              </w:rPr>
              <w:t>单位性质</w:t>
            </w:r>
          </w:p>
        </w:tc>
        <w:tc>
          <w:tcPr>
            <w:tcW w:w="2131" w:type="dxa"/>
            <w:vAlign w:val="center"/>
          </w:tcPr>
          <w:p w14:paraId="6597A498">
            <w:pPr>
              <w:jc w:val="center"/>
              <w:rPr>
                <w:sz w:val="24"/>
                <w:szCs w:val="24"/>
              </w:rPr>
            </w:pPr>
            <w:r>
              <w:rPr>
                <w:rFonts w:hint="eastAsia"/>
                <w:sz w:val="24"/>
                <w:szCs w:val="24"/>
              </w:rPr>
              <w:t>单位规格</w:t>
            </w:r>
          </w:p>
        </w:tc>
        <w:tc>
          <w:tcPr>
            <w:tcW w:w="2131" w:type="dxa"/>
            <w:vAlign w:val="center"/>
          </w:tcPr>
          <w:p w14:paraId="7AB1794A">
            <w:pPr>
              <w:jc w:val="center"/>
              <w:rPr>
                <w:sz w:val="24"/>
                <w:szCs w:val="24"/>
              </w:rPr>
            </w:pPr>
            <w:r>
              <w:rPr>
                <w:rFonts w:hint="eastAsia"/>
                <w:sz w:val="24"/>
                <w:szCs w:val="24"/>
              </w:rPr>
              <w:t>经费保障形式</w:t>
            </w:r>
          </w:p>
        </w:tc>
      </w:tr>
      <w:tr w14:paraId="3AF82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45D5C353">
            <w:pPr>
              <w:jc w:val="center"/>
              <w:rPr>
                <w:sz w:val="24"/>
                <w:szCs w:val="24"/>
              </w:rPr>
            </w:pPr>
            <w:r>
              <w:rPr>
                <w:rFonts w:hint="eastAsia"/>
                <w:sz w:val="24"/>
                <w:szCs w:val="24"/>
              </w:rPr>
              <w:t>石家庄市藁城区兴安镇人民政府(机关)</w:t>
            </w:r>
          </w:p>
        </w:tc>
        <w:tc>
          <w:tcPr>
            <w:tcW w:w="2130" w:type="dxa"/>
            <w:vAlign w:val="center"/>
          </w:tcPr>
          <w:p w14:paraId="29087B4F">
            <w:pPr>
              <w:jc w:val="center"/>
              <w:rPr>
                <w:sz w:val="24"/>
                <w:szCs w:val="24"/>
              </w:rPr>
            </w:pPr>
            <w:r>
              <w:rPr>
                <w:rFonts w:hint="eastAsia"/>
                <w:sz w:val="24"/>
                <w:szCs w:val="24"/>
              </w:rPr>
              <w:t>行政</w:t>
            </w:r>
          </w:p>
        </w:tc>
        <w:tc>
          <w:tcPr>
            <w:tcW w:w="2131" w:type="dxa"/>
            <w:vAlign w:val="center"/>
          </w:tcPr>
          <w:p w14:paraId="23D1028B">
            <w:pPr>
              <w:jc w:val="center"/>
              <w:rPr>
                <w:sz w:val="24"/>
                <w:szCs w:val="24"/>
              </w:rPr>
            </w:pPr>
            <w:r>
              <w:rPr>
                <w:rFonts w:hint="eastAsia"/>
                <w:sz w:val="24"/>
                <w:szCs w:val="24"/>
              </w:rPr>
              <w:t>正科级</w:t>
            </w:r>
          </w:p>
        </w:tc>
        <w:tc>
          <w:tcPr>
            <w:tcW w:w="2131" w:type="dxa"/>
            <w:vAlign w:val="center"/>
          </w:tcPr>
          <w:p w14:paraId="5F8FE32F">
            <w:pPr>
              <w:jc w:val="center"/>
              <w:rPr>
                <w:sz w:val="24"/>
                <w:szCs w:val="24"/>
              </w:rPr>
            </w:pPr>
            <w:r>
              <w:rPr>
                <w:rFonts w:hint="eastAsia"/>
                <w:sz w:val="24"/>
                <w:szCs w:val="24"/>
              </w:rPr>
              <w:t>财政拨款</w:t>
            </w:r>
          </w:p>
        </w:tc>
      </w:tr>
      <w:tr w14:paraId="36621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trPr>
        <w:tc>
          <w:tcPr>
            <w:tcW w:w="2130" w:type="dxa"/>
            <w:vAlign w:val="center"/>
          </w:tcPr>
          <w:p w14:paraId="3B30B1FC">
            <w:pPr>
              <w:spacing w:line="300" w:lineRule="exact"/>
              <w:ind w:firstLine="560"/>
              <w:jc w:val="left"/>
              <w:rPr>
                <w:sz w:val="24"/>
                <w:szCs w:val="24"/>
              </w:rPr>
            </w:pPr>
            <w:r>
              <w:rPr>
                <w:rFonts w:hint="eastAsia" w:ascii="仿宋_GB2312" w:hAnsi="仿宋_GB2312" w:cs="仿宋_GB2312"/>
                <w:sz w:val="24"/>
                <w:szCs w:val="24"/>
              </w:rPr>
              <w:t>石家庄市藁城区兴安学区(事业)</w:t>
            </w:r>
          </w:p>
        </w:tc>
        <w:tc>
          <w:tcPr>
            <w:tcW w:w="2130" w:type="dxa"/>
          </w:tcPr>
          <w:p w14:paraId="5C30DBB9">
            <w:pPr>
              <w:jc w:val="center"/>
              <w:rPr>
                <w:rFonts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事业</w:t>
            </w:r>
          </w:p>
        </w:tc>
        <w:tc>
          <w:tcPr>
            <w:tcW w:w="2131" w:type="dxa"/>
          </w:tcPr>
          <w:p w14:paraId="798322B2">
            <w:pPr>
              <w:jc w:val="center"/>
              <w:rPr>
                <w:rFonts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正科级</w:t>
            </w:r>
          </w:p>
        </w:tc>
        <w:tc>
          <w:tcPr>
            <w:tcW w:w="2131" w:type="dxa"/>
          </w:tcPr>
          <w:p w14:paraId="01E95577">
            <w:pPr>
              <w:jc w:val="center"/>
              <w:rPr>
                <w:rFonts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财政性资金基本保证</w:t>
            </w:r>
          </w:p>
        </w:tc>
      </w:tr>
    </w:tbl>
    <w:p w14:paraId="333E6B4C">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第二部分 2017年度部门决算报表</w:t>
      </w:r>
    </w:p>
    <w:p w14:paraId="4A90D63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2FF59AA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70012A4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05CAB7A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5D8BA7D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66248A0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4208124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75D6A92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23F0AD6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495EAF1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6839E2A7">
      <w:pPr>
        <w:spacing w:line="360" w:lineRule="auto"/>
        <w:ind w:firstLine="1080" w:firstLineChars="300"/>
        <w:jc w:val="left"/>
        <w:rPr>
          <w:rFonts w:asciiTheme="minorEastAsia" w:hAnsiTheme="minorEastAsia"/>
          <w:sz w:val="36"/>
          <w:szCs w:val="36"/>
        </w:rPr>
      </w:pPr>
      <w:r>
        <w:rPr>
          <w:rFonts w:hint="eastAsia" w:asciiTheme="minorEastAsia" w:hAnsiTheme="minorEastAsia"/>
          <w:sz w:val="36"/>
          <w:szCs w:val="36"/>
        </w:rPr>
        <w:t>（详见附表）</w:t>
      </w:r>
    </w:p>
    <w:p w14:paraId="635C5DDC">
      <w:pPr>
        <w:rPr>
          <w:color w:val="FF0000"/>
          <w:sz w:val="32"/>
          <w:szCs w:val="32"/>
        </w:rPr>
      </w:pPr>
    </w:p>
    <w:p w14:paraId="10E7C653">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第三部分 2017年度部门决算情况说明</w:t>
      </w:r>
    </w:p>
    <w:p w14:paraId="1B5F4076">
      <w:pPr>
        <w:rPr>
          <w:b/>
          <w:sz w:val="36"/>
          <w:szCs w:val="36"/>
        </w:rPr>
      </w:pPr>
      <w:r>
        <w:rPr>
          <w:rFonts w:hint="eastAsia"/>
          <w:b/>
          <w:sz w:val="36"/>
          <w:szCs w:val="36"/>
        </w:rPr>
        <w:t>一、收入支出决算总体情况说明</w:t>
      </w:r>
    </w:p>
    <w:p w14:paraId="0544BBBC">
      <w:pPr>
        <w:spacing w:line="560" w:lineRule="exact"/>
        <w:ind w:firstLine="640"/>
        <w:rPr>
          <w:rFonts w:ascii="仿宋_GB2312"/>
          <w:szCs w:val="32"/>
        </w:rPr>
      </w:pPr>
      <w:r>
        <w:rPr>
          <w:rFonts w:hint="eastAsia" w:asciiTheme="minorEastAsia" w:hAnsiTheme="minorEastAsia" w:cstheme="minorEastAsia"/>
          <w:sz w:val="32"/>
          <w:szCs w:val="32"/>
        </w:rPr>
        <w:t>2017年度年收入6184.4万元，本年支出6184.4万元，其他收入0万元，年初结转和结余0万元。与 2016 年度决算相比，实际财政收支增长949.56万元，增加 18.14%；收支增加的主要原因是人员（教师）工资调整人员经费增加、美丽乡村建设、环保、土地、信访支出增加。</w:t>
      </w:r>
      <w:r>
        <w:rPr>
          <w:rFonts w:hint="eastAsia" w:ascii="仿宋_GB2312"/>
          <w:szCs w:val="32"/>
        </w:rPr>
        <w:t xml:space="preserve">             。</w:t>
      </w:r>
    </w:p>
    <w:p w14:paraId="31C9D4D3">
      <w:pPr>
        <w:ind w:firstLine="640" w:firstLineChars="200"/>
        <w:rPr>
          <w:rFonts w:asciiTheme="minorEastAsia" w:hAnsiTheme="minorEastAsia"/>
          <w:sz w:val="32"/>
          <w:szCs w:val="32"/>
        </w:rPr>
      </w:pPr>
    </w:p>
    <w:p w14:paraId="37BA2BB2">
      <w:pPr>
        <w:ind w:firstLine="640" w:firstLineChars="200"/>
        <w:rPr>
          <w:rFonts w:asciiTheme="minorEastAsia" w:hAnsiTheme="minorEastAsia"/>
          <w:sz w:val="32"/>
          <w:szCs w:val="32"/>
        </w:rPr>
      </w:pPr>
    </w:p>
    <w:p w14:paraId="727E2EC4">
      <w:pPr>
        <w:rPr>
          <w:b/>
          <w:sz w:val="36"/>
          <w:szCs w:val="36"/>
        </w:rPr>
      </w:pPr>
      <w:r>
        <w:rPr>
          <w:rFonts w:hint="eastAsia"/>
          <w:b/>
          <w:sz w:val="36"/>
          <w:szCs w:val="36"/>
        </w:rPr>
        <w:t>二、收入决算情况说明</w:t>
      </w:r>
    </w:p>
    <w:p w14:paraId="67AAF035">
      <w:pPr>
        <w:spacing w:line="560" w:lineRule="exact"/>
        <w:ind w:firstLine="640"/>
        <w:rPr>
          <w:rFonts w:asciiTheme="minorEastAsia" w:hAnsiTheme="minorEastAsia"/>
          <w:sz w:val="32"/>
          <w:szCs w:val="32"/>
        </w:rPr>
      </w:pPr>
      <w:r>
        <w:rPr>
          <w:rFonts w:hint="eastAsia" w:ascii="仿宋_GB2312"/>
          <w:szCs w:val="32"/>
        </w:rPr>
        <w:t xml:space="preserve"> </w:t>
      </w:r>
      <w:r>
        <w:rPr>
          <w:rFonts w:hint="eastAsia" w:ascii="仿宋_GB2312"/>
          <w:sz w:val="32"/>
          <w:szCs w:val="32"/>
        </w:rPr>
        <w:t>2016年兴安镇人民政府共收入合计6184.4万元，其中财政拨款收入6184.4万元，其他收入0万元。与年初预算5849.54万元相比增加334.86万元，增长5.7%；与上年相比增加949.56万元，其中财政拨款收</w:t>
      </w:r>
      <w:r>
        <w:rPr>
          <w:rFonts w:hint="eastAsia" w:asciiTheme="minorEastAsia" w:hAnsiTheme="minorEastAsia" w:cstheme="minorEastAsia"/>
          <w:sz w:val="32"/>
          <w:szCs w:val="32"/>
        </w:rPr>
        <w:t>入增加949.56万元，其他收入增加0万元。主要原因：受调资因素的影响，人员经费增加,美丽乡村建设、环保、土地、信访支出增加等</w:t>
      </w:r>
      <w:r>
        <w:rPr>
          <w:rFonts w:hint="eastAsia" w:ascii="仿宋" w:hAnsi="仿宋" w:eastAsia="仿宋"/>
          <w:sz w:val="32"/>
          <w:szCs w:val="32"/>
        </w:rPr>
        <w:t>。</w:t>
      </w:r>
    </w:p>
    <w:p w14:paraId="179154AC">
      <w:pPr>
        <w:ind w:firstLine="640" w:firstLineChars="200"/>
        <w:jc w:val="center"/>
        <w:rPr>
          <w:rFonts w:asciiTheme="minorEastAsia" w:hAnsiTheme="minorEastAsia"/>
          <w:sz w:val="32"/>
          <w:szCs w:val="32"/>
        </w:rPr>
      </w:pPr>
      <w:r>
        <w:rPr>
          <w:rFonts w:hint="eastAsia" w:asciiTheme="minorEastAsia" w:hAnsiTheme="minorEastAsia"/>
          <w:sz w:val="32"/>
          <w:szCs w:val="32"/>
        </w:rPr>
        <w:t>图1：收入决算饼状图</w:t>
      </w:r>
    </w:p>
    <w:p w14:paraId="6082A96B">
      <w:pPr>
        <w:jc w:val="center"/>
        <w:rPr>
          <w:b/>
          <w:sz w:val="36"/>
          <w:szCs w:val="36"/>
        </w:rPr>
      </w:pPr>
      <w:r>
        <w:rPr>
          <w:rFonts w:hint="eastAsia" w:asciiTheme="minorEastAsia" w:hAnsiTheme="minorEastAsia"/>
          <w:sz w:val="32"/>
          <w:szCs w:val="32"/>
        </w:rPr>
        <w:drawing>
          <wp:inline distT="0" distB="0" distL="114300" distR="114300">
            <wp:extent cx="4184650" cy="2581910"/>
            <wp:effectExtent l="4445" t="4445" r="20955" b="23495"/>
            <wp:docPr id="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0E1096C2">
      <w:pPr>
        <w:rPr>
          <w:b/>
          <w:sz w:val="36"/>
          <w:szCs w:val="36"/>
        </w:rPr>
      </w:pPr>
    </w:p>
    <w:p w14:paraId="575ADEBE">
      <w:pPr>
        <w:rPr>
          <w:b/>
          <w:sz w:val="36"/>
          <w:szCs w:val="36"/>
        </w:rPr>
      </w:pPr>
      <w:r>
        <w:rPr>
          <w:rFonts w:hint="eastAsia"/>
          <w:b/>
          <w:sz w:val="36"/>
          <w:szCs w:val="36"/>
        </w:rPr>
        <w:t>三、支出决算情况说明</w:t>
      </w:r>
    </w:p>
    <w:p w14:paraId="28FF0FF6">
      <w:pPr>
        <w:spacing w:line="560" w:lineRule="exact"/>
        <w:ind w:firstLine="640"/>
        <w:rPr>
          <w:rFonts w:asciiTheme="minorEastAsia" w:hAnsiTheme="minorEastAsia" w:cstheme="minorEastAsia"/>
          <w:sz w:val="32"/>
          <w:szCs w:val="32"/>
        </w:rPr>
      </w:pPr>
      <w:r>
        <w:rPr>
          <w:rFonts w:hint="eastAsia"/>
          <w:b/>
          <w:sz w:val="32"/>
          <w:szCs w:val="32"/>
        </w:rPr>
        <w:t xml:space="preserve"> </w:t>
      </w:r>
      <w:r>
        <w:rPr>
          <w:rFonts w:hint="eastAsia" w:asciiTheme="minorEastAsia" w:hAnsiTheme="minorEastAsia" w:cstheme="minorEastAsia"/>
          <w:sz w:val="32"/>
          <w:szCs w:val="32"/>
        </w:rPr>
        <w:t>2017年全年共支出6184.4万元，其中基本支出6184.4万元，项目经费支出0万元。与年初预算5849.54万元相比增加334.86万元，增长5.7%；与上年相比增加支出949.56万元，主要原因受调资因素的影响，人员经费增加,美丽乡村建设、环保、土地、信访支出增加等。</w:t>
      </w:r>
    </w:p>
    <w:p w14:paraId="2AC6922E">
      <w:pPr>
        <w:rPr>
          <w:rFonts w:asciiTheme="minorEastAsia" w:hAnsiTheme="minorEastAsia" w:cstheme="minorEastAsia"/>
          <w:b/>
          <w:sz w:val="36"/>
          <w:szCs w:val="36"/>
        </w:rPr>
      </w:pPr>
      <w:r>
        <w:rPr>
          <w:rFonts w:hint="eastAsia" w:asciiTheme="minorEastAsia" w:hAnsiTheme="minorEastAsia" w:cstheme="minorEastAsia"/>
          <w:b/>
          <w:sz w:val="36"/>
          <w:szCs w:val="36"/>
        </w:rPr>
        <w:drawing>
          <wp:inline distT="0" distB="0" distL="114300" distR="114300">
            <wp:extent cx="4994275" cy="3371850"/>
            <wp:effectExtent l="4445" t="4445" r="11430" b="1460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1F199588">
      <w:pPr>
        <w:rPr>
          <w:b/>
          <w:sz w:val="36"/>
          <w:szCs w:val="36"/>
        </w:rPr>
      </w:pPr>
      <w:r>
        <w:rPr>
          <w:rFonts w:hint="eastAsia"/>
          <w:b/>
          <w:sz w:val="36"/>
          <w:szCs w:val="36"/>
        </w:rPr>
        <w:t>四、 财政拨款收入支出决算总体情况说明</w:t>
      </w:r>
    </w:p>
    <w:p w14:paraId="3091739C">
      <w:pPr>
        <w:rPr>
          <w:b/>
          <w:sz w:val="32"/>
          <w:szCs w:val="32"/>
        </w:rPr>
      </w:pPr>
      <w:r>
        <w:rPr>
          <w:rFonts w:hint="eastAsia"/>
          <w:b/>
          <w:sz w:val="32"/>
          <w:szCs w:val="32"/>
        </w:rPr>
        <w:t>（一）财政拨款收支与2016年度决算对比情况</w:t>
      </w:r>
    </w:p>
    <w:p w14:paraId="2B91971F">
      <w:pPr>
        <w:ind w:firstLine="640" w:firstLineChars="200"/>
        <w:rPr>
          <w:rFonts w:asciiTheme="minorEastAsia" w:hAnsiTheme="minorEastAsia"/>
          <w:sz w:val="32"/>
          <w:szCs w:val="32"/>
        </w:rPr>
      </w:pPr>
      <w:r>
        <w:rPr>
          <w:rFonts w:hint="eastAsia" w:asciiTheme="minorEastAsia" w:hAnsiTheme="minorEastAsia"/>
          <w:sz w:val="32"/>
          <w:szCs w:val="32"/>
        </w:rPr>
        <w:t>2017 年度财政拨款收入 6184.4万元，其中：一般公共预算拨款6184.4万元，其他收入0万元。与 2016 年度决算相比，财政拨款收入增加949.56万元，其中：一般公共预算拨款收入949.56 万元，其他收入增加 0万元。</w:t>
      </w:r>
    </w:p>
    <w:p w14:paraId="07C1A4DB">
      <w:pPr>
        <w:ind w:firstLine="640" w:firstLineChars="200"/>
        <w:rPr>
          <w:rFonts w:asciiTheme="minorEastAsia" w:hAnsiTheme="minorEastAsia"/>
          <w:sz w:val="32"/>
          <w:szCs w:val="32"/>
        </w:rPr>
      </w:pPr>
      <w:r>
        <w:rPr>
          <w:rFonts w:hint="eastAsia" w:asciiTheme="minorEastAsia" w:hAnsiTheme="minorEastAsia"/>
          <w:sz w:val="32"/>
          <w:szCs w:val="32"/>
        </w:rPr>
        <w:t>2017 年度财政拨款支出 6184.4万元， 其中： 一般公共预算拨款支出6184.4 万元，政府性基金预算财政拨款支出0万元。与 2016年度决算相比，财政拨款支出增加949.56万元， 其中：一般公共预算拨款支出增加949.56万元，政府性基金预算财政拨款支出增加 0 万元。</w:t>
      </w:r>
    </w:p>
    <w:p w14:paraId="2183652A">
      <w:pPr>
        <w:spacing w:line="560" w:lineRule="exact"/>
        <w:ind w:firstLine="640"/>
        <w:rPr>
          <w:rFonts w:asciiTheme="minorEastAsia" w:hAnsiTheme="minorEastAsia" w:cstheme="minorEastAsia"/>
          <w:sz w:val="32"/>
          <w:szCs w:val="32"/>
        </w:rPr>
      </w:pPr>
      <w:r>
        <w:rPr>
          <w:rFonts w:hint="eastAsia" w:asciiTheme="minorEastAsia" w:hAnsiTheme="minorEastAsia"/>
          <w:sz w:val="32"/>
          <w:szCs w:val="32"/>
        </w:rPr>
        <w:t>2017 年度</w:t>
      </w:r>
      <w:r>
        <w:rPr>
          <w:rFonts w:hint="eastAsia" w:asciiTheme="minorEastAsia" w:hAnsiTheme="minorEastAsia" w:cstheme="minorEastAsia"/>
          <w:sz w:val="32"/>
          <w:szCs w:val="32"/>
        </w:rPr>
        <w:t>财政拨款收支比 2016 年大幅增加的主要原因是人员经费增加,美丽乡村建设、环保、土地、信访支出增加等。</w:t>
      </w:r>
    </w:p>
    <w:p w14:paraId="63B56602">
      <w:pPr>
        <w:rPr>
          <w:b/>
          <w:sz w:val="32"/>
          <w:szCs w:val="32"/>
        </w:rPr>
      </w:pPr>
      <w:r>
        <w:rPr>
          <w:rFonts w:hint="eastAsia"/>
          <w:b/>
          <w:sz w:val="32"/>
          <w:szCs w:val="32"/>
        </w:rPr>
        <w:t>（二）财政拨款收支与年初预算数对比情况</w:t>
      </w:r>
    </w:p>
    <w:p w14:paraId="0CC0BAC3">
      <w:pPr>
        <w:spacing w:line="560" w:lineRule="exact"/>
        <w:ind w:firstLine="640" w:firstLineChars="200"/>
        <w:rPr>
          <w:rFonts w:asciiTheme="minorEastAsia" w:hAnsiTheme="minorEastAsia" w:cstheme="minorEastAsia"/>
          <w:sz w:val="32"/>
          <w:szCs w:val="32"/>
        </w:rPr>
      </w:pPr>
      <w:r>
        <w:rPr>
          <w:rFonts w:hint="eastAsia" w:asciiTheme="minorEastAsia" w:hAnsiTheme="minorEastAsia"/>
          <w:sz w:val="32"/>
          <w:szCs w:val="32"/>
        </w:rPr>
        <w:t xml:space="preserve">2017 年度，年初预算批复财政拨款收支5849.54 万元，其中：一般公共预算拨款 5849.54 万元， 政府性基金预算财政拨款收支 0万元。与年初预算相比，财政拨款收入增加334.86 万元，增加5.7%，其中：一般公共预算拨款增加334.86 万元。财政拨款支出增加334.86万元，增加5.7%，其中：一般公共预算拨款增加334.86万元。2017 </w:t>
      </w:r>
      <w:r>
        <w:rPr>
          <w:rFonts w:hint="eastAsia" w:asciiTheme="minorEastAsia" w:hAnsiTheme="minorEastAsia" w:cstheme="minorEastAsia"/>
          <w:sz w:val="32"/>
          <w:szCs w:val="32"/>
        </w:rPr>
        <w:t>年度财政拨款收支比年初预算减少的主要原因是受人员经费增加,美丽乡村建设、环保、土地、信访等支出增加因素的影响。</w:t>
      </w:r>
    </w:p>
    <w:p w14:paraId="0ABE2192">
      <w:pPr>
        <w:ind w:firstLine="640" w:firstLineChars="200"/>
        <w:rPr>
          <w:rFonts w:asciiTheme="minorEastAsia" w:hAnsiTheme="minorEastAsia"/>
          <w:sz w:val="32"/>
          <w:szCs w:val="32"/>
        </w:rPr>
      </w:pPr>
    </w:p>
    <w:p w14:paraId="099D12CF">
      <w:pPr>
        <w:rPr>
          <w:b/>
          <w:sz w:val="36"/>
          <w:szCs w:val="36"/>
        </w:rPr>
      </w:pPr>
      <w:r>
        <w:rPr>
          <w:rFonts w:hint="eastAsia"/>
          <w:b/>
          <w:sz w:val="36"/>
          <w:szCs w:val="36"/>
        </w:rPr>
        <w:t>五、 “ 三公” 经费支出决算情况说明</w:t>
      </w:r>
    </w:p>
    <w:p w14:paraId="7FF0211B">
      <w:pPr>
        <w:ind w:firstLine="640" w:firstLineChars="200"/>
        <w:rPr>
          <w:rFonts w:asciiTheme="minorEastAsia" w:hAnsiTheme="minorEastAsia"/>
          <w:sz w:val="32"/>
          <w:szCs w:val="32"/>
        </w:rPr>
      </w:pPr>
      <w:r>
        <w:rPr>
          <w:rFonts w:hint="eastAsia" w:asciiTheme="minorEastAsia" w:hAnsiTheme="minorEastAsia"/>
          <w:sz w:val="32"/>
          <w:szCs w:val="32"/>
        </w:rPr>
        <w:t>2017年度，我镇认真落实中央八项规定精神和厉行节约要求，管理制度不断完善，“ 三公” 经费支出得到有效控制。全年“ 三公” 经费支出共计5.06万元，与2016年度比，总支出减少0.02万元， 减少0.3%； 与年初预算相比，总支出减少5.19万元，减少50.63%。</w:t>
      </w:r>
    </w:p>
    <w:p w14:paraId="6945F93E">
      <w:pPr>
        <w:ind w:firstLine="640" w:firstLineChars="200"/>
        <w:rPr>
          <w:rFonts w:asciiTheme="minorEastAsia" w:hAnsiTheme="minorEastAsia"/>
          <w:sz w:val="32"/>
          <w:szCs w:val="32"/>
        </w:rPr>
      </w:pPr>
      <w:r>
        <w:rPr>
          <w:rFonts w:hint="eastAsia" w:asciiTheme="minorEastAsia" w:hAnsiTheme="minorEastAsia"/>
          <w:sz w:val="32"/>
          <w:szCs w:val="32"/>
        </w:rPr>
        <w:t>现将一般公共预算财政拨款“ 三公” 经费支出决算情况说明如下：</w:t>
      </w:r>
    </w:p>
    <w:p w14:paraId="4ABD1855">
      <w:pPr>
        <w:rPr>
          <w:b/>
          <w:sz w:val="32"/>
          <w:szCs w:val="32"/>
        </w:rPr>
      </w:pPr>
    </w:p>
    <w:p w14:paraId="48D84F40">
      <w:pPr>
        <w:rPr>
          <w:b/>
          <w:sz w:val="32"/>
          <w:szCs w:val="32"/>
        </w:rPr>
      </w:pPr>
      <w:r>
        <w:rPr>
          <w:rFonts w:hint="eastAsia"/>
          <w:b/>
          <w:sz w:val="32"/>
          <w:szCs w:val="32"/>
        </w:rPr>
        <w:t>“ 三公” 经费支出2016年度、 2017年度对比明细表</w:t>
      </w:r>
    </w:p>
    <w:p w14:paraId="2B13A3CF">
      <w:pPr>
        <w:jc w:val="right"/>
        <w:rPr>
          <w:rFonts w:asciiTheme="minorEastAsia" w:hAnsiTheme="minorEastAsia"/>
          <w:sz w:val="28"/>
          <w:szCs w:val="28"/>
        </w:rPr>
      </w:pPr>
      <w:r>
        <w:rPr>
          <w:rFonts w:hint="eastAsia" w:asciiTheme="minorEastAsia" w:hAnsiTheme="minorEastAsia"/>
          <w:sz w:val="28"/>
          <w:szCs w:val="28"/>
        </w:rPr>
        <w:t>单位：万元</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559CE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0C348E8">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14:paraId="002FE301">
            <w:pPr>
              <w:jc w:val="center"/>
              <w:rPr>
                <w:rFonts w:asciiTheme="minorEastAsia" w:hAnsiTheme="minorEastAsia"/>
                <w:b/>
                <w:sz w:val="24"/>
                <w:szCs w:val="24"/>
              </w:rPr>
            </w:pPr>
            <w:r>
              <w:rPr>
                <w:rFonts w:hint="eastAsia" w:asciiTheme="minorEastAsia" w:hAnsiTheme="minorEastAsia"/>
                <w:sz w:val="24"/>
                <w:szCs w:val="24"/>
              </w:rPr>
              <w:t>2016年支出</w:t>
            </w:r>
          </w:p>
        </w:tc>
        <w:tc>
          <w:tcPr>
            <w:tcW w:w="2130" w:type="dxa"/>
            <w:vAlign w:val="center"/>
          </w:tcPr>
          <w:p w14:paraId="1A183669">
            <w:pPr>
              <w:jc w:val="center"/>
              <w:rPr>
                <w:rFonts w:asciiTheme="minorEastAsia" w:hAnsiTheme="minorEastAsia"/>
                <w:b/>
                <w:sz w:val="24"/>
                <w:szCs w:val="24"/>
              </w:rPr>
            </w:pPr>
            <w:r>
              <w:rPr>
                <w:rFonts w:hint="eastAsia" w:asciiTheme="minorEastAsia" w:hAnsiTheme="minorEastAsia"/>
                <w:sz w:val="24"/>
                <w:szCs w:val="24"/>
              </w:rPr>
              <w:t>2017年支出</w:t>
            </w:r>
          </w:p>
        </w:tc>
        <w:tc>
          <w:tcPr>
            <w:tcW w:w="2131" w:type="dxa"/>
            <w:vAlign w:val="center"/>
          </w:tcPr>
          <w:p w14:paraId="480BF61A">
            <w:pPr>
              <w:jc w:val="center"/>
              <w:rPr>
                <w:rFonts w:asciiTheme="minorEastAsia" w:hAnsiTheme="minorEastAsia"/>
                <w:sz w:val="24"/>
                <w:szCs w:val="24"/>
              </w:rPr>
            </w:pPr>
            <w:r>
              <w:rPr>
                <w:rFonts w:hint="eastAsia" w:asciiTheme="minorEastAsia" w:hAnsiTheme="minorEastAsia"/>
                <w:sz w:val="24"/>
                <w:szCs w:val="24"/>
              </w:rPr>
              <w:t>2017年与2016年对比</w:t>
            </w:r>
          </w:p>
        </w:tc>
      </w:tr>
      <w:tr w14:paraId="20985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26CEB8FA">
            <w:pPr>
              <w:jc w:val="center"/>
              <w:rPr>
                <w:rFonts w:asciiTheme="minorEastAsia" w:hAnsiTheme="minorEastAsia"/>
                <w:sz w:val="24"/>
                <w:szCs w:val="24"/>
              </w:rPr>
            </w:pPr>
            <w:r>
              <w:rPr>
                <w:rFonts w:hint="eastAsia" w:asciiTheme="minorEastAsia" w:hAnsiTheme="minorEastAsia"/>
                <w:sz w:val="24"/>
                <w:szCs w:val="24"/>
              </w:rPr>
              <w:t>因公出国（境）支出</w:t>
            </w:r>
          </w:p>
        </w:tc>
        <w:tc>
          <w:tcPr>
            <w:tcW w:w="2131" w:type="dxa"/>
            <w:vAlign w:val="center"/>
          </w:tcPr>
          <w:p w14:paraId="5D695CC9">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14:paraId="5522142C">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14:paraId="78D82404">
            <w:pPr>
              <w:jc w:val="center"/>
              <w:rPr>
                <w:rFonts w:asciiTheme="minorEastAsia" w:hAnsiTheme="minorEastAsia"/>
                <w:sz w:val="24"/>
                <w:szCs w:val="24"/>
              </w:rPr>
            </w:pPr>
            <w:r>
              <w:rPr>
                <w:rFonts w:hint="eastAsia" w:asciiTheme="minorEastAsia" w:hAnsiTheme="minorEastAsia"/>
                <w:sz w:val="24"/>
                <w:szCs w:val="24"/>
              </w:rPr>
              <w:t>0</w:t>
            </w:r>
          </w:p>
        </w:tc>
      </w:tr>
      <w:tr w14:paraId="1269E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3513D27">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14:paraId="04B0D302">
            <w:pPr>
              <w:jc w:val="center"/>
              <w:rPr>
                <w:rFonts w:asciiTheme="minorEastAsia" w:hAnsiTheme="minorEastAsia"/>
                <w:sz w:val="24"/>
                <w:szCs w:val="24"/>
              </w:rPr>
            </w:pPr>
            <w:r>
              <w:rPr>
                <w:rFonts w:hint="eastAsia" w:asciiTheme="minorEastAsia" w:hAnsiTheme="minorEastAsia"/>
                <w:sz w:val="24"/>
                <w:szCs w:val="24"/>
              </w:rPr>
              <w:t>5.08</w:t>
            </w:r>
          </w:p>
        </w:tc>
        <w:tc>
          <w:tcPr>
            <w:tcW w:w="2130" w:type="dxa"/>
            <w:vAlign w:val="center"/>
          </w:tcPr>
          <w:p w14:paraId="29B323FF">
            <w:pPr>
              <w:jc w:val="center"/>
              <w:rPr>
                <w:rFonts w:asciiTheme="minorEastAsia" w:hAnsiTheme="minorEastAsia"/>
                <w:sz w:val="24"/>
                <w:szCs w:val="24"/>
              </w:rPr>
            </w:pPr>
            <w:r>
              <w:rPr>
                <w:rFonts w:hint="eastAsia" w:asciiTheme="minorEastAsia" w:hAnsiTheme="minorEastAsia"/>
                <w:sz w:val="24"/>
                <w:szCs w:val="24"/>
              </w:rPr>
              <w:t>5.06</w:t>
            </w:r>
          </w:p>
        </w:tc>
        <w:tc>
          <w:tcPr>
            <w:tcW w:w="2131" w:type="dxa"/>
            <w:vAlign w:val="center"/>
          </w:tcPr>
          <w:p w14:paraId="55651A27">
            <w:pPr>
              <w:jc w:val="center"/>
              <w:rPr>
                <w:rFonts w:asciiTheme="minorEastAsia" w:hAnsiTheme="minorEastAsia"/>
                <w:sz w:val="24"/>
                <w:szCs w:val="24"/>
              </w:rPr>
            </w:pPr>
            <w:r>
              <w:rPr>
                <w:rFonts w:asciiTheme="minorEastAsia" w:hAnsiTheme="minorEastAsia"/>
                <w:sz w:val="24"/>
                <w:szCs w:val="24"/>
              </w:rPr>
              <w:t>-</w:t>
            </w:r>
            <w:r>
              <w:rPr>
                <w:rFonts w:hint="eastAsia" w:asciiTheme="minorEastAsia" w:hAnsiTheme="minorEastAsia"/>
                <w:sz w:val="24"/>
                <w:szCs w:val="24"/>
              </w:rPr>
              <w:t>0.02</w:t>
            </w:r>
          </w:p>
        </w:tc>
      </w:tr>
      <w:tr w14:paraId="773A8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7C521626">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14:paraId="291920CE">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14:paraId="1E7949C7">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14:paraId="3F2CF04C">
            <w:pPr>
              <w:jc w:val="center"/>
              <w:rPr>
                <w:rFonts w:asciiTheme="minorEastAsia" w:hAnsiTheme="minorEastAsia"/>
                <w:sz w:val="24"/>
                <w:szCs w:val="24"/>
              </w:rPr>
            </w:pPr>
            <w:r>
              <w:rPr>
                <w:rFonts w:hint="eastAsia" w:asciiTheme="minorEastAsia" w:hAnsiTheme="minorEastAsia"/>
                <w:sz w:val="24"/>
                <w:szCs w:val="24"/>
              </w:rPr>
              <w:t>0</w:t>
            </w:r>
          </w:p>
        </w:tc>
      </w:tr>
      <w:tr w14:paraId="47980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2130" w:type="dxa"/>
            <w:vAlign w:val="center"/>
          </w:tcPr>
          <w:p w14:paraId="341BF68A">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14:paraId="3E5F1B20">
            <w:pPr>
              <w:jc w:val="center"/>
              <w:rPr>
                <w:rFonts w:asciiTheme="minorEastAsia" w:hAnsiTheme="minorEastAsia"/>
                <w:sz w:val="24"/>
                <w:szCs w:val="24"/>
              </w:rPr>
            </w:pPr>
            <w:r>
              <w:rPr>
                <w:rFonts w:hint="eastAsia" w:asciiTheme="minorEastAsia" w:hAnsiTheme="minorEastAsia"/>
                <w:sz w:val="24"/>
                <w:szCs w:val="24"/>
              </w:rPr>
              <w:t>5.08</w:t>
            </w:r>
          </w:p>
        </w:tc>
        <w:tc>
          <w:tcPr>
            <w:tcW w:w="2130" w:type="dxa"/>
            <w:vAlign w:val="center"/>
          </w:tcPr>
          <w:p w14:paraId="33E0E031">
            <w:pPr>
              <w:jc w:val="center"/>
              <w:rPr>
                <w:rFonts w:asciiTheme="minorEastAsia" w:hAnsiTheme="minorEastAsia"/>
                <w:sz w:val="24"/>
                <w:szCs w:val="24"/>
              </w:rPr>
            </w:pPr>
            <w:r>
              <w:rPr>
                <w:rFonts w:hint="eastAsia" w:asciiTheme="minorEastAsia" w:hAnsiTheme="minorEastAsia"/>
                <w:sz w:val="24"/>
                <w:szCs w:val="24"/>
              </w:rPr>
              <w:t>5.06</w:t>
            </w:r>
          </w:p>
        </w:tc>
        <w:tc>
          <w:tcPr>
            <w:tcW w:w="2131" w:type="dxa"/>
            <w:vAlign w:val="center"/>
          </w:tcPr>
          <w:p w14:paraId="43A123A6">
            <w:pPr>
              <w:jc w:val="center"/>
              <w:rPr>
                <w:rFonts w:asciiTheme="minorEastAsia" w:hAnsiTheme="minorEastAsia"/>
                <w:sz w:val="24"/>
                <w:szCs w:val="24"/>
              </w:rPr>
            </w:pPr>
            <w:r>
              <w:rPr>
                <w:rFonts w:asciiTheme="minorEastAsia" w:hAnsiTheme="minorEastAsia"/>
                <w:sz w:val="24"/>
                <w:szCs w:val="24"/>
              </w:rPr>
              <w:t>-</w:t>
            </w:r>
            <w:r>
              <w:rPr>
                <w:rFonts w:hint="eastAsia" w:asciiTheme="minorEastAsia" w:hAnsiTheme="minorEastAsia"/>
                <w:sz w:val="24"/>
                <w:szCs w:val="24"/>
              </w:rPr>
              <w:t>0.02</w:t>
            </w:r>
          </w:p>
        </w:tc>
      </w:tr>
    </w:tbl>
    <w:p w14:paraId="5C01B87F">
      <w:pPr>
        <w:ind w:firstLine="640" w:firstLineChars="200"/>
        <w:rPr>
          <w:rFonts w:asciiTheme="minorEastAsia" w:hAnsiTheme="minorEastAsia"/>
          <w:sz w:val="32"/>
          <w:szCs w:val="32"/>
        </w:rPr>
      </w:pPr>
      <w:r>
        <w:rPr>
          <w:rFonts w:hint="eastAsia" w:asciiTheme="minorEastAsia" w:hAnsiTheme="minorEastAsia"/>
          <w:sz w:val="32"/>
          <w:szCs w:val="32"/>
        </w:rPr>
        <w:t>2017年度， 一般公共预算财政拨款“ 三公” 经费实际支出，与预算对比，减少5.19万元。其中公务用车运行维护费减少5.19万元。</w:t>
      </w:r>
    </w:p>
    <w:p w14:paraId="38DCFE2B">
      <w:pPr>
        <w:rPr>
          <w:b/>
          <w:sz w:val="32"/>
          <w:szCs w:val="32"/>
        </w:rPr>
      </w:pPr>
      <w:r>
        <w:rPr>
          <w:rFonts w:hint="eastAsia"/>
          <w:b/>
          <w:sz w:val="32"/>
          <w:szCs w:val="32"/>
        </w:rPr>
        <w:t>2017年度“ 三公” 经费支出预决算对比明细表</w:t>
      </w:r>
    </w:p>
    <w:p w14:paraId="07603386">
      <w:pPr>
        <w:jc w:val="right"/>
        <w:rPr>
          <w:sz w:val="28"/>
          <w:szCs w:val="28"/>
        </w:rPr>
      </w:pPr>
      <w:r>
        <w:rPr>
          <w:rFonts w:hint="eastAsia"/>
          <w:sz w:val="28"/>
          <w:szCs w:val="28"/>
        </w:rPr>
        <w:t>单位：万元</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4CB3E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1C481A1E">
            <w:pPr>
              <w:jc w:val="center"/>
              <w:rPr>
                <w:sz w:val="24"/>
                <w:szCs w:val="24"/>
              </w:rPr>
            </w:pPr>
            <w:r>
              <w:rPr>
                <w:rFonts w:hint="eastAsia"/>
                <w:sz w:val="24"/>
                <w:szCs w:val="24"/>
              </w:rPr>
              <w:t>“ 三公” 经费</w:t>
            </w:r>
          </w:p>
        </w:tc>
        <w:tc>
          <w:tcPr>
            <w:tcW w:w="2131" w:type="dxa"/>
            <w:vAlign w:val="center"/>
          </w:tcPr>
          <w:p w14:paraId="06A1460A">
            <w:pPr>
              <w:jc w:val="center"/>
              <w:rPr>
                <w:b/>
                <w:sz w:val="24"/>
                <w:szCs w:val="24"/>
              </w:rPr>
            </w:pPr>
            <w:r>
              <w:rPr>
                <w:rFonts w:hint="eastAsia"/>
                <w:sz w:val="24"/>
                <w:szCs w:val="24"/>
              </w:rPr>
              <w:t>2017年实际支出</w:t>
            </w:r>
          </w:p>
        </w:tc>
        <w:tc>
          <w:tcPr>
            <w:tcW w:w="2130" w:type="dxa"/>
            <w:vAlign w:val="center"/>
          </w:tcPr>
          <w:p w14:paraId="43D30EE7">
            <w:pPr>
              <w:jc w:val="center"/>
              <w:rPr>
                <w:sz w:val="24"/>
                <w:szCs w:val="24"/>
              </w:rPr>
            </w:pPr>
            <w:r>
              <w:rPr>
                <w:rFonts w:hint="eastAsia"/>
                <w:sz w:val="24"/>
                <w:szCs w:val="24"/>
              </w:rPr>
              <w:t>2017年预算</w:t>
            </w:r>
          </w:p>
        </w:tc>
        <w:tc>
          <w:tcPr>
            <w:tcW w:w="2131" w:type="dxa"/>
            <w:vAlign w:val="center"/>
          </w:tcPr>
          <w:p w14:paraId="4684FBBF">
            <w:pPr>
              <w:jc w:val="center"/>
              <w:rPr>
                <w:b/>
                <w:sz w:val="24"/>
                <w:szCs w:val="24"/>
              </w:rPr>
            </w:pPr>
            <w:r>
              <w:rPr>
                <w:rFonts w:hint="eastAsia"/>
                <w:sz w:val="24"/>
                <w:szCs w:val="24"/>
              </w:rPr>
              <w:t>预决算对比</w:t>
            </w:r>
          </w:p>
        </w:tc>
      </w:tr>
      <w:tr w14:paraId="4320D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74B7F970">
            <w:pPr>
              <w:jc w:val="center"/>
              <w:rPr>
                <w:sz w:val="24"/>
                <w:szCs w:val="24"/>
              </w:rPr>
            </w:pPr>
            <w:r>
              <w:rPr>
                <w:rFonts w:hint="eastAsia"/>
                <w:sz w:val="24"/>
                <w:szCs w:val="24"/>
              </w:rPr>
              <w:t>因公出国（境）支出</w:t>
            </w:r>
          </w:p>
        </w:tc>
        <w:tc>
          <w:tcPr>
            <w:tcW w:w="2131" w:type="dxa"/>
            <w:vAlign w:val="center"/>
          </w:tcPr>
          <w:p w14:paraId="30C26567">
            <w:pPr>
              <w:jc w:val="center"/>
              <w:rPr>
                <w:sz w:val="24"/>
                <w:szCs w:val="24"/>
              </w:rPr>
            </w:pPr>
            <w:r>
              <w:rPr>
                <w:rFonts w:hint="eastAsia"/>
                <w:sz w:val="24"/>
                <w:szCs w:val="24"/>
              </w:rPr>
              <w:t>0</w:t>
            </w:r>
          </w:p>
        </w:tc>
        <w:tc>
          <w:tcPr>
            <w:tcW w:w="2130" w:type="dxa"/>
            <w:vAlign w:val="center"/>
          </w:tcPr>
          <w:p w14:paraId="6712F9A4">
            <w:pPr>
              <w:jc w:val="center"/>
              <w:rPr>
                <w:sz w:val="24"/>
                <w:szCs w:val="24"/>
              </w:rPr>
            </w:pPr>
            <w:r>
              <w:rPr>
                <w:rFonts w:hint="eastAsia"/>
                <w:sz w:val="24"/>
                <w:szCs w:val="24"/>
              </w:rPr>
              <w:t>0</w:t>
            </w:r>
          </w:p>
        </w:tc>
        <w:tc>
          <w:tcPr>
            <w:tcW w:w="2131" w:type="dxa"/>
            <w:vAlign w:val="center"/>
          </w:tcPr>
          <w:p w14:paraId="224FE6C8">
            <w:pPr>
              <w:jc w:val="center"/>
              <w:rPr>
                <w:sz w:val="24"/>
                <w:szCs w:val="24"/>
              </w:rPr>
            </w:pPr>
            <w:r>
              <w:rPr>
                <w:rFonts w:hint="eastAsia"/>
                <w:sz w:val="24"/>
                <w:szCs w:val="24"/>
              </w:rPr>
              <w:t>0</w:t>
            </w:r>
          </w:p>
        </w:tc>
      </w:tr>
      <w:tr w14:paraId="20FC6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189D2695">
            <w:pPr>
              <w:jc w:val="center"/>
              <w:rPr>
                <w:sz w:val="24"/>
                <w:szCs w:val="24"/>
              </w:rPr>
            </w:pPr>
            <w:r>
              <w:rPr>
                <w:rFonts w:hint="eastAsia"/>
                <w:sz w:val="24"/>
                <w:szCs w:val="24"/>
              </w:rPr>
              <w:t>公务用车运行维护费</w:t>
            </w:r>
          </w:p>
        </w:tc>
        <w:tc>
          <w:tcPr>
            <w:tcW w:w="2131" w:type="dxa"/>
            <w:vAlign w:val="center"/>
          </w:tcPr>
          <w:p w14:paraId="00832914">
            <w:pPr>
              <w:jc w:val="center"/>
              <w:rPr>
                <w:sz w:val="24"/>
                <w:szCs w:val="24"/>
              </w:rPr>
            </w:pPr>
            <w:r>
              <w:rPr>
                <w:rFonts w:hint="eastAsia"/>
                <w:sz w:val="24"/>
                <w:szCs w:val="24"/>
              </w:rPr>
              <w:t>5.06</w:t>
            </w:r>
          </w:p>
        </w:tc>
        <w:tc>
          <w:tcPr>
            <w:tcW w:w="2130" w:type="dxa"/>
            <w:vAlign w:val="center"/>
          </w:tcPr>
          <w:p w14:paraId="2043D1D4">
            <w:pPr>
              <w:jc w:val="center"/>
              <w:rPr>
                <w:sz w:val="24"/>
                <w:szCs w:val="24"/>
              </w:rPr>
            </w:pPr>
            <w:r>
              <w:rPr>
                <w:rFonts w:hint="eastAsia"/>
                <w:sz w:val="24"/>
                <w:szCs w:val="24"/>
              </w:rPr>
              <w:t>8.8</w:t>
            </w:r>
          </w:p>
        </w:tc>
        <w:tc>
          <w:tcPr>
            <w:tcW w:w="2131" w:type="dxa"/>
            <w:vAlign w:val="center"/>
          </w:tcPr>
          <w:p w14:paraId="56C43C98">
            <w:pPr>
              <w:jc w:val="center"/>
              <w:rPr>
                <w:sz w:val="24"/>
                <w:szCs w:val="24"/>
              </w:rPr>
            </w:pPr>
            <w:r>
              <w:rPr>
                <w:sz w:val="24"/>
                <w:szCs w:val="24"/>
              </w:rPr>
              <w:t>-</w:t>
            </w:r>
            <w:r>
              <w:rPr>
                <w:rFonts w:hint="eastAsia"/>
                <w:sz w:val="24"/>
                <w:szCs w:val="24"/>
              </w:rPr>
              <w:t>3.74</w:t>
            </w:r>
          </w:p>
        </w:tc>
      </w:tr>
      <w:tr w14:paraId="70B35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B27E89D">
            <w:pPr>
              <w:jc w:val="center"/>
              <w:rPr>
                <w:sz w:val="24"/>
                <w:szCs w:val="24"/>
              </w:rPr>
            </w:pPr>
            <w:r>
              <w:rPr>
                <w:rFonts w:hint="eastAsia"/>
                <w:sz w:val="24"/>
                <w:szCs w:val="24"/>
              </w:rPr>
              <w:t>公务接待费</w:t>
            </w:r>
          </w:p>
        </w:tc>
        <w:tc>
          <w:tcPr>
            <w:tcW w:w="2131" w:type="dxa"/>
            <w:vAlign w:val="center"/>
          </w:tcPr>
          <w:p w14:paraId="2120BC49">
            <w:pPr>
              <w:jc w:val="center"/>
              <w:rPr>
                <w:sz w:val="24"/>
                <w:szCs w:val="24"/>
              </w:rPr>
            </w:pPr>
            <w:r>
              <w:rPr>
                <w:rFonts w:hint="eastAsia"/>
                <w:sz w:val="24"/>
                <w:szCs w:val="24"/>
              </w:rPr>
              <w:t>0</w:t>
            </w:r>
          </w:p>
        </w:tc>
        <w:tc>
          <w:tcPr>
            <w:tcW w:w="2130" w:type="dxa"/>
            <w:vAlign w:val="center"/>
          </w:tcPr>
          <w:p w14:paraId="7A82012F">
            <w:pPr>
              <w:jc w:val="center"/>
              <w:rPr>
                <w:sz w:val="24"/>
                <w:szCs w:val="24"/>
              </w:rPr>
            </w:pPr>
            <w:r>
              <w:rPr>
                <w:rFonts w:hint="eastAsia"/>
                <w:sz w:val="24"/>
                <w:szCs w:val="24"/>
              </w:rPr>
              <w:t>1.45</w:t>
            </w:r>
          </w:p>
        </w:tc>
        <w:tc>
          <w:tcPr>
            <w:tcW w:w="2131" w:type="dxa"/>
            <w:vAlign w:val="center"/>
          </w:tcPr>
          <w:p w14:paraId="1AD6D870">
            <w:pPr>
              <w:jc w:val="center"/>
              <w:rPr>
                <w:sz w:val="24"/>
                <w:szCs w:val="24"/>
              </w:rPr>
            </w:pPr>
            <w:r>
              <w:rPr>
                <w:rFonts w:hint="eastAsia"/>
                <w:sz w:val="24"/>
                <w:szCs w:val="24"/>
              </w:rPr>
              <w:t>-1.45</w:t>
            </w:r>
          </w:p>
        </w:tc>
      </w:tr>
      <w:tr w14:paraId="6D388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F037859">
            <w:pPr>
              <w:jc w:val="center"/>
              <w:rPr>
                <w:sz w:val="24"/>
                <w:szCs w:val="24"/>
              </w:rPr>
            </w:pPr>
            <w:r>
              <w:rPr>
                <w:rFonts w:hint="eastAsia"/>
                <w:sz w:val="24"/>
                <w:szCs w:val="24"/>
              </w:rPr>
              <w:t>合计</w:t>
            </w:r>
          </w:p>
        </w:tc>
        <w:tc>
          <w:tcPr>
            <w:tcW w:w="2131" w:type="dxa"/>
            <w:vAlign w:val="center"/>
          </w:tcPr>
          <w:p w14:paraId="1B969904">
            <w:pPr>
              <w:jc w:val="center"/>
              <w:rPr>
                <w:sz w:val="24"/>
                <w:szCs w:val="24"/>
              </w:rPr>
            </w:pPr>
            <w:r>
              <w:rPr>
                <w:rFonts w:hint="eastAsia"/>
                <w:sz w:val="24"/>
                <w:szCs w:val="24"/>
              </w:rPr>
              <w:t>5.06</w:t>
            </w:r>
          </w:p>
        </w:tc>
        <w:tc>
          <w:tcPr>
            <w:tcW w:w="2130" w:type="dxa"/>
            <w:vAlign w:val="center"/>
          </w:tcPr>
          <w:p w14:paraId="2DEBC0F5">
            <w:pPr>
              <w:jc w:val="center"/>
              <w:rPr>
                <w:sz w:val="24"/>
                <w:szCs w:val="24"/>
              </w:rPr>
            </w:pPr>
            <w:r>
              <w:rPr>
                <w:rFonts w:hint="eastAsia"/>
                <w:sz w:val="24"/>
                <w:szCs w:val="24"/>
              </w:rPr>
              <w:t>10.25</w:t>
            </w:r>
          </w:p>
        </w:tc>
        <w:tc>
          <w:tcPr>
            <w:tcW w:w="2131" w:type="dxa"/>
            <w:vAlign w:val="center"/>
          </w:tcPr>
          <w:p w14:paraId="7FBBC2DB">
            <w:pPr>
              <w:jc w:val="center"/>
              <w:rPr>
                <w:sz w:val="24"/>
                <w:szCs w:val="24"/>
              </w:rPr>
            </w:pPr>
            <w:r>
              <w:rPr>
                <w:rFonts w:hint="eastAsia"/>
                <w:sz w:val="24"/>
                <w:szCs w:val="24"/>
              </w:rPr>
              <w:t>-5.19</w:t>
            </w:r>
          </w:p>
        </w:tc>
      </w:tr>
    </w:tbl>
    <w:p w14:paraId="5B0FACE5">
      <w:pPr>
        <w:numPr>
          <w:ilvl w:val="0"/>
          <w:numId w:val="1"/>
        </w:numPr>
        <w:ind w:firstLine="643" w:firstLineChars="200"/>
        <w:rPr>
          <w:rFonts w:asciiTheme="minorEastAsia" w:hAnsiTheme="minorEastAsia"/>
          <w:b/>
          <w:sz w:val="32"/>
          <w:szCs w:val="32"/>
        </w:rPr>
      </w:pPr>
      <w:r>
        <w:rPr>
          <w:rFonts w:hint="eastAsia" w:asciiTheme="minorEastAsia" w:hAnsiTheme="minorEastAsia"/>
          <w:b/>
          <w:sz w:val="32"/>
          <w:szCs w:val="32"/>
        </w:rPr>
        <w:t>因公出国（ 境）支出0万元。</w:t>
      </w:r>
    </w:p>
    <w:p w14:paraId="22E4117A">
      <w:pPr>
        <w:ind w:firstLine="643" w:firstLineChars="200"/>
        <w:rPr>
          <w:rFonts w:asciiTheme="minorEastAsia" w:hAnsiTheme="minorEastAsia"/>
          <w:sz w:val="32"/>
          <w:szCs w:val="32"/>
        </w:rPr>
      </w:pPr>
      <w:r>
        <w:rPr>
          <w:rFonts w:hint="eastAsia" w:asciiTheme="minorEastAsia" w:hAnsiTheme="minorEastAsia"/>
          <w:b/>
          <w:sz w:val="32"/>
          <w:szCs w:val="32"/>
        </w:rPr>
        <w:t>（二）公务用车运行维护费支出5.06万元。</w:t>
      </w:r>
      <w:r>
        <w:rPr>
          <w:rFonts w:hint="eastAsia"/>
        </w:rPr>
        <w:t xml:space="preserve"> </w:t>
      </w:r>
      <w:r>
        <w:rPr>
          <w:rFonts w:hint="eastAsia" w:asciiTheme="minorEastAsia" w:hAnsiTheme="minorEastAsia"/>
          <w:sz w:val="32"/>
          <w:szCs w:val="32"/>
        </w:rPr>
        <w:t>本年度我镇公务用车保有量2辆。与2016年度相比，公务用车运行维护费减少0.02万元，减少0.3%；与年初预算相比， 减少5.19万元，减少50.63%。主要原因：加强公务用车管理，切实压缩公务用车费用支出。我镇2017年度没有购置公务用车，未发生公务用车购置费，较年初预算和2016年决算无增减变化。</w:t>
      </w:r>
    </w:p>
    <w:p w14:paraId="4DD04A25">
      <w:pPr>
        <w:ind w:firstLine="643" w:firstLineChars="200"/>
        <w:rPr>
          <w:rFonts w:asciiTheme="minorEastAsia" w:hAnsiTheme="minorEastAsia"/>
          <w:sz w:val="32"/>
          <w:szCs w:val="32"/>
        </w:rPr>
      </w:pPr>
      <w:r>
        <w:rPr>
          <w:rFonts w:hint="eastAsia" w:asciiTheme="minorEastAsia" w:hAnsiTheme="minorEastAsia"/>
          <w:b/>
          <w:sz w:val="32"/>
          <w:szCs w:val="32"/>
        </w:rPr>
        <w:t>（三）公务接待费支出0万元。</w:t>
      </w:r>
    </w:p>
    <w:p w14:paraId="4EA2A517">
      <w:pPr>
        <w:rPr>
          <w:b/>
          <w:sz w:val="36"/>
          <w:szCs w:val="36"/>
        </w:rPr>
      </w:pPr>
      <w:r>
        <w:rPr>
          <w:rFonts w:hint="eastAsia"/>
          <w:b/>
          <w:sz w:val="36"/>
          <w:szCs w:val="36"/>
        </w:rPr>
        <w:t>六、 绩效预算管理工作开展情况说明</w:t>
      </w:r>
    </w:p>
    <w:p w14:paraId="0A9EAF42">
      <w:pPr>
        <w:ind w:firstLine="640" w:firstLineChars="200"/>
        <w:rPr>
          <w:rFonts w:hint="eastAsia" w:asciiTheme="minorEastAsia" w:hAnsiTheme="minorEastAsia"/>
          <w:sz w:val="32"/>
          <w:szCs w:val="32"/>
        </w:rPr>
      </w:pPr>
      <w:r>
        <w:rPr>
          <w:rFonts w:hint="eastAsia" w:asciiTheme="minorEastAsia" w:hAnsiTheme="minorEastAsia"/>
          <w:sz w:val="32"/>
          <w:szCs w:val="32"/>
        </w:rPr>
        <w:t>（一）绩效管理工作开展情况。</w:t>
      </w:r>
    </w:p>
    <w:p w14:paraId="7CE81E30">
      <w:pPr>
        <w:ind w:firstLine="640" w:firstLineChars="200"/>
        <w:rPr>
          <w:rFonts w:hint="eastAsia" w:asciiTheme="minorEastAsia" w:hAnsiTheme="minorEastAsia"/>
          <w:sz w:val="32"/>
          <w:szCs w:val="32"/>
        </w:rPr>
      </w:pPr>
      <w:r>
        <w:rPr>
          <w:rFonts w:hint="eastAsia" w:asciiTheme="minorEastAsia" w:hAnsiTheme="minor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p>
    <w:p w14:paraId="3D5BFAE0">
      <w:pPr>
        <w:numPr>
          <w:ilvl w:val="0"/>
          <w:numId w:val="1"/>
        </w:numPr>
        <w:ind w:left="0" w:leftChars="0" w:firstLine="640" w:firstLineChars="200"/>
        <w:rPr>
          <w:rFonts w:hint="eastAsia" w:asciiTheme="minorEastAsia" w:hAnsiTheme="minorEastAsia"/>
          <w:sz w:val="32"/>
          <w:szCs w:val="32"/>
        </w:rPr>
      </w:pPr>
      <w:r>
        <w:rPr>
          <w:rFonts w:hint="eastAsia" w:asciiTheme="minorEastAsia" w:hAnsiTheme="minorEastAsia"/>
          <w:sz w:val="32"/>
          <w:szCs w:val="32"/>
        </w:rPr>
        <w:t>预算项目绩效评价开展情况。</w:t>
      </w:r>
    </w:p>
    <w:p w14:paraId="4EBA5BBE">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rPr>
          <w:rFonts w:hint="eastAsia" w:asciiTheme="minorEastAsia" w:hAnsiTheme="minorEastAsia"/>
          <w:sz w:val="32"/>
          <w:szCs w:val="32"/>
        </w:rPr>
      </w:pPr>
      <w:r>
        <w:rPr>
          <w:rFonts w:hint="eastAsia" w:asciiTheme="minorEastAsia" w:hAnsiTheme="minorEastAsia"/>
          <w:sz w:val="32"/>
          <w:szCs w:val="32"/>
        </w:rPr>
        <w:t>根据预算绩效管理要求，本单位组织对2017年度一般公共预算项目支出全面开展绩效自评</w:t>
      </w:r>
      <w:r>
        <w:rPr>
          <w:rFonts w:hint="eastAsia" w:asciiTheme="minorEastAsia" w:hAnsiTheme="minorEastAsia"/>
          <w:sz w:val="32"/>
          <w:szCs w:val="32"/>
          <w:lang w:val="en-US" w:eastAsia="zh-CN"/>
        </w:rPr>
        <w:t>,</w:t>
      </w:r>
      <w:r>
        <w:rPr>
          <w:rFonts w:hint="eastAsia" w:asciiTheme="minorEastAsia" w:hAnsiTheme="minorEastAsia"/>
          <w:sz w:val="32"/>
          <w:szCs w:val="32"/>
        </w:rPr>
        <w:t>2017年度我单位</w:t>
      </w:r>
      <w:r>
        <w:rPr>
          <w:rFonts w:hint="eastAsia" w:asciiTheme="minorEastAsia" w:hAnsiTheme="minorEastAsia"/>
          <w:sz w:val="32"/>
          <w:szCs w:val="32"/>
          <w:lang w:eastAsia="zh-CN"/>
        </w:rPr>
        <w:t>涉及项目金额为</w:t>
      </w:r>
      <w:r>
        <w:rPr>
          <w:rFonts w:hint="eastAsia" w:asciiTheme="minorEastAsia" w:hAnsiTheme="minorEastAsia"/>
          <w:sz w:val="32"/>
          <w:szCs w:val="32"/>
          <w:lang w:val="en-US" w:eastAsia="zh-CN"/>
        </w:rPr>
        <w:t>0万元</w:t>
      </w:r>
      <w:r>
        <w:rPr>
          <w:rFonts w:hint="eastAsia" w:asciiTheme="minorEastAsia" w:hAnsiTheme="minorEastAsia"/>
          <w:sz w:val="32"/>
          <w:szCs w:val="32"/>
        </w:rPr>
        <w:t>。</w:t>
      </w:r>
    </w:p>
    <w:p w14:paraId="6194B713">
      <w:pPr>
        <w:ind w:firstLine="640" w:firstLineChars="200"/>
        <w:rPr>
          <w:rFonts w:hint="eastAsia" w:asciiTheme="minorEastAsia" w:hAnsiTheme="minorEastAsia"/>
          <w:sz w:val="32"/>
          <w:szCs w:val="32"/>
        </w:rPr>
      </w:pPr>
      <w:r>
        <w:rPr>
          <w:rFonts w:hint="eastAsia" w:asciiTheme="minorEastAsia" w:hAnsiTheme="minorEastAsia"/>
          <w:sz w:val="32"/>
          <w:szCs w:val="32"/>
        </w:rPr>
        <w:t>（三）预算项目绩效自评选例。</w:t>
      </w:r>
    </w:p>
    <w:p w14:paraId="0C56CC9A">
      <w:pPr>
        <w:ind w:firstLine="640" w:firstLineChars="200"/>
        <w:rPr>
          <w:rFonts w:hint="eastAsia" w:asciiTheme="minorEastAsia" w:hAnsiTheme="minorEastAsia"/>
          <w:sz w:val="32"/>
          <w:szCs w:val="32"/>
        </w:rPr>
      </w:pPr>
      <w:r>
        <w:rPr>
          <w:rFonts w:hint="eastAsia" w:asciiTheme="minorEastAsia" w:hAnsiTheme="minorEastAsia"/>
          <w:sz w:val="32"/>
          <w:szCs w:val="32"/>
        </w:rPr>
        <w:t>本单位无民生项目和重点支出项目。</w:t>
      </w:r>
    </w:p>
    <w:p w14:paraId="2F5F0CF9">
      <w:pPr>
        <w:ind w:firstLine="640" w:firstLineChars="200"/>
        <w:rPr>
          <w:rFonts w:hint="eastAsia" w:asciiTheme="minorEastAsia" w:hAnsiTheme="minorEastAsia"/>
          <w:sz w:val="32"/>
          <w:szCs w:val="32"/>
        </w:rPr>
      </w:pPr>
      <w:r>
        <w:rPr>
          <w:rFonts w:hint="eastAsia" w:ascii="宋体" w:hAnsi="宋体" w:cs="宋体"/>
          <w:sz w:val="32"/>
          <w:szCs w:val="32"/>
          <w:lang w:val="en-US" w:eastAsia="zh-CN"/>
        </w:rPr>
        <w:t>2017年</w:t>
      </w:r>
      <w:r>
        <w:rPr>
          <w:rFonts w:hint="eastAsia" w:ascii="宋体" w:hAnsi="宋体" w:cs="宋体"/>
          <w:sz w:val="32"/>
          <w:szCs w:val="32"/>
        </w:rPr>
        <w:t>我镇不断强化以绩效为导向，预算支出管理较为规范，能按照有关规章制度开展工作；重大支出项目立项规范，资金到位及时，资金使用较合理规范，实现了部门职责绩效目标。</w:t>
      </w:r>
    </w:p>
    <w:p w14:paraId="397F2817">
      <w:pPr>
        <w:rPr>
          <w:b/>
          <w:sz w:val="36"/>
          <w:szCs w:val="36"/>
        </w:rPr>
      </w:pPr>
      <w:r>
        <w:rPr>
          <w:rFonts w:hint="eastAsia"/>
          <w:b/>
          <w:sz w:val="36"/>
          <w:szCs w:val="36"/>
        </w:rPr>
        <w:t>七、 其他重要事项的说明</w:t>
      </w:r>
    </w:p>
    <w:p w14:paraId="0553D908">
      <w:pPr>
        <w:spacing w:line="560" w:lineRule="exact"/>
        <w:ind w:firstLine="643"/>
        <w:rPr>
          <w:rFonts w:ascii="仿宋_GB2312"/>
          <w:b/>
          <w:sz w:val="32"/>
          <w:szCs w:val="32"/>
        </w:rPr>
      </w:pPr>
      <w:r>
        <w:rPr>
          <w:rFonts w:hint="eastAsia" w:ascii="仿宋_GB2312"/>
          <w:b/>
          <w:sz w:val="32"/>
          <w:szCs w:val="32"/>
        </w:rPr>
        <w:t>1、机关运行经费的支出情况的说明</w:t>
      </w:r>
      <w:r>
        <w:rPr>
          <w:rFonts w:hint="eastAsia" w:ascii="仿宋_GB2312"/>
          <w:sz w:val="32"/>
          <w:szCs w:val="32"/>
        </w:rPr>
        <w:t xml:space="preserve">     </w:t>
      </w:r>
    </w:p>
    <w:p w14:paraId="7F7F3574">
      <w:pPr>
        <w:spacing w:line="560" w:lineRule="exact"/>
        <w:ind w:firstLine="640"/>
        <w:rPr>
          <w:rFonts w:ascii="仿宋_GB2312"/>
          <w:sz w:val="32"/>
          <w:szCs w:val="32"/>
        </w:rPr>
      </w:pPr>
      <w:r>
        <w:rPr>
          <w:rFonts w:hint="eastAsia" w:ascii="仿宋_GB2312" w:hAnsi="仿宋_GB2312" w:cs="仿宋_GB2312"/>
          <w:sz w:val="32"/>
          <w:szCs w:val="32"/>
        </w:rPr>
        <w:t>2017年本部门机关运行经费支出136.96万元，2016年是138.72万元，比2016年减少1.76万元。主要原因</w:t>
      </w:r>
      <w:r>
        <w:rPr>
          <w:rFonts w:hint="eastAsia" w:ascii="仿宋_GB2312" w:hAnsi="仿宋_GB2312" w:cs="仿宋_GB2312"/>
          <w:sz w:val="32"/>
          <w:szCs w:val="32"/>
          <w:lang w:val="en-US" w:eastAsia="zh-CN"/>
        </w:rPr>
        <w:t>厉行节约</w:t>
      </w:r>
      <w:bookmarkStart w:id="0" w:name="_GoBack"/>
      <w:bookmarkEnd w:id="0"/>
      <w:r>
        <w:rPr>
          <w:rFonts w:hint="eastAsia" w:ascii="仿宋_GB2312"/>
          <w:sz w:val="32"/>
          <w:szCs w:val="32"/>
        </w:rPr>
        <w:t>，减少开支。</w:t>
      </w:r>
    </w:p>
    <w:p w14:paraId="2C62F864">
      <w:pPr>
        <w:spacing w:line="560" w:lineRule="exact"/>
        <w:ind w:firstLine="643"/>
        <w:rPr>
          <w:rFonts w:ascii="仿宋_GB2312"/>
          <w:b/>
          <w:sz w:val="32"/>
          <w:szCs w:val="32"/>
        </w:rPr>
      </w:pPr>
      <w:r>
        <w:rPr>
          <w:rFonts w:hint="eastAsia" w:ascii="仿宋_GB2312"/>
          <w:b/>
          <w:sz w:val="32"/>
          <w:szCs w:val="32"/>
        </w:rPr>
        <w:t>2、政府采购情况的说明</w:t>
      </w:r>
    </w:p>
    <w:p w14:paraId="1693B9A5">
      <w:pPr>
        <w:widowControl/>
        <w:spacing w:line="580" w:lineRule="exact"/>
        <w:ind w:left="105" w:leftChars="50" w:firstLine="480" w:firstLineChars="150"/>
        <w:rPr>
          <w:rFonts w:ascii="仿宋_GB2312"/>
          <w:sz w:val="32"/>
          <w:szCs w:val="32"/>
        </w:rPr>
      </w:pPr>
      <w:r>
        <w:rPr>
          <w:rFonts w:hint="eastAsia" w:ascii="仿宋_GB2312"/>
          <w:sz w:val="32"/>
          <w:szCs w:val="32"/>
        </w:rPr>
        <w:t>2017年兴安镇人民政府</w:t>
      </w:r>
      <w:r>
        <w:rPr>
          <w:rFonts w:hint="eastAsia" w:ascii="仿宋_GB2312" w:cs="宋体"/>
          <w:color w:val="000000"/>
          <w:kern w:val="0"/>
          <w:sz w:val="32"/>
          <w:szCs w:val="32"/>
        </w:rPr>
        <w:t>采购预算安排</w:t>
      </w:r>
      <w:r>
        <w:rPr>
          <w:rFonts w:hint="eastAsia" w:ascii="仿宋_GB2312" w:hAnsi="仿宋_GB2312" w:cs="仿宋_GB2312"/>
          <w:sz w:val="32"/>
          <w:szCs w:val="32"/>
        </w:rPr>
        <w:t>0</w:t>
      </w:r>
      <w:r>
        <w:rPr>
          <w:rFonts w:hint="eastAsia" w:ascii="仿宋_GB2312" w:cs="宋体"/>
          <w:color w:val="000000"/>
          <w:kern w:val="0"/>
          <w:sz w:val="32"/>
          <w:szCs w:val="32"/>
        </w:rPr>
        <w:t>万元，政府采购支出总额0万元，年末结转0万元。其中：政府采购货物支出</w:t>
      </w:r>
      <w:r>
        <w:rPr>
          <w:rFonts w:hint="eastAsia" w:ascii="仿宋_GB2312" w:hAnsi="仿宋_GB2312" w:cs="仿宋_GB2312"/>
          <w:sz w:val="32"/>
          <w:szCs w:val="32"/>
        </w:rPr>
        <w:t>0</w:t>
      </w:r>
      <w:r>
        <w:rPr>
          <w:rFonts w:hint="eastAsia" w:ascii="仿宋_GB2312" w:cs="宋体"/>
          <w:color w:val="000000"/>
          <w:kern w:val="0"/>
          <w:sz w:val="32"/>
          <w:szCs w:val="32"/>
        </w:rPr>
        <w:t>万元、政府采购工程支出</w:t>
      </w:r>
      <w:r>
        <w:rPr>
          <w:rFonts w:hint="eastAsia" w:ascii="仿宋_GB2312" w:hAnsi="仿宋_GB2312" w:cs="仿宋_GB2312"/>
          <w:sz w:val="32"/>
          <w:szCs w:val="32"/>
        </w:rPr>
        <w:t>0</w:t>
      </w:r>
      <w:r>
        <w:rPr>
          <w:rFonts w:hint="eastAsia" w:ascii="仿宋_GB2312" w:cs="宋体"/>
          <w:color w:val="000000"/>
          <w:kern w:val="0"/>
          <w:sz w:val="32"/>
          <w:szCs w:val="32"/>
        </w:rPr>
        <w:t>万元，政府采购服务支出</w:t>
      </w:r>
      <w:r>
        <w:rPr>
          <w:rFonts w:hint="eastAsia" w:ascii="仿宋_GB2312" w:hAnsi="仿宋_GB2312" w:cs="仿宋_GB2312"/>
          <w:sz w:val="32"/>
          <w:szCs w:val="32"/>
        </w:rPr>
        <w:t>0万</w:t>
      </w:r>
      <w:r>
        <w:rPr>
          <w:rFonts w:hint="eastAsia" w:ascii="仿宋_GB2312" w:cs="宋体"/>
          <w:color w:val="000000"/>
          <w:kern w:val="0"/>
          <w:sz w:val="32"/>
          <w:szCs w:val="32"/>
        </w:rPr>
        <w:t>元</w:t>
      </w:r>
      <w:r>
        <w:rPr>
          <w:rFonts w:hint="eastAsia" w:ascii="仿宋_GB2312"/>
          <w:sz w:val="32"/>
          <w:szCs w:val="32"/>
        </w:rPr>
        <w:t>，与上年相比无增减变化。</w:t>
      </w:r>
    </w:p>
    <w:p w14:paraId="5D0A8E6C">
      <w:pPr>
        <w:widowControl/>
        <w:spacing w:line="580" w:lineRule="exact"/>
        <w:ind w:firstLine="643"/>
        <w:rPr>
          <w:rFonts w:ascii="仿宋_GB2312" w:cs="宋体"/>
          <w:b/>
          <w:color w:val="000000"/>
          <w:kern w:val="0"/>
          <w:sz w:val="32"/>
          <w:szCs w:val="32"/>
        </w:rPr>
      </w:pPr>
      <w:r>
        <w:rPr>
          <w:rFonts w:hint="eastAsia" w:ascii="仿宋_GB2312" w:cs="宋体"/>
          <w:b/>
          <w:color w:val="000000"/>
          <w:kern w:val="0"/>
          <w:sz w:val="32"/>
          <w:szCs w:val="32"/>
        </w:rPr>
        <w:t>3、关于国有资产占用情况说明</w:t>
      </w:r>
    </w:p>
    <w:p w14:paraId="0279D73E">
      <w:pPr>
        <w:widowControl/>
        <w:spacing w:line="580" w:lineRule="exact"/>
        <w:rPr>
          <w:rFonts w:ascii="仿宋_GB2312" w:cs="宋体"/>
          <w:color w:val="000000"/>
          <w:kern w:val="0"/>
          <w:sz w:val="32"/>
          <w:szCs w:val="32"/>
        </w:rPr>
      </w:pPr>
      <w:r>
        <w:rPr>
          <w:rFonts w:hint="eastAsia" w:ascii="仿宋_GB2312" w:cs="宋体"/>
          <w:color w:val="000000"/>
          <w:kern w:val="0"/>
          <w:sz w:val="32"/>
          <w:szCs w:val="32"/>
        </w:rPr>
        <w:t xml:space="preserve">    截止2017年12月31日，本部门共有车辆2辆，其中，一般公务用车2辆，</w:t>
      </w:r>
      <w:r>
        <w:rPr>
          <w:rFonts w:hint="eastAsia" w:ascii="仿宋_GB2312" w:cs="宋体"/>
          <w:color w:val="000000"/>
          <w:kern w:val="0"/>
          <w:sz w:val="32"/>
          <w:szCs w:val="32"/>
          <w:lang w:eastAsia="zh-CN"/>
        </w:rPr>
        <w:t>价值</w:t>
      </w:r>
      <w:r>
        <w:rPr>
          <w:rFonts w:hint="eastAsia" w:ascii="仿宋_GB2312" w:cs="宋体"/>
          <w:color w:val="000000"/>
          <w:kern w:val="0"/>
          <w:sz w:val="32"/>
          <w:szCs w:val="32"/>
          <w:lang w:val="en-US" w:eastAsia="zh-CN"/>
        </w:rPr>
        <w:t>10万元，</w:t>
      </w:r>
      <w:r>
        <w:rPr>
          <w:rFonts w:hint="eastAsia" w:ascii="仿宋_GB2312" w:cs="宋体"/>
          <w:color w:val="000000"/>
          <w:kern w:val="0"/>
          <w:sz w:val="32"/>
          <w:szCs w:val="32"/>
        </w:rPr>
        <w:t>其他车辆0辆，</w:t>
      </w:r>
      <w:r>
        <w:rPr>
          <w:rFonts w:hint="eastAsia" w:ascii="仿宋_GB2312" w:cs="宋体"/>
          <w:kern w:val="0"/>
          <w:sz w:val="32"/>
          <w:szCs w:val="32"/>
        </w:rPr>
        <w:t>土地房屋及构筑物价值1120万元，家用家具2.81万元，通用设备专用设备5.93万元</w:t>
      </w:r>
      <w:r>
        <w:rPr>
          <w:rFonts w:hint="eastAsia" w:ascii="仿宋_GB2312" w:cs="宋体"/>
          <w:kern w:val="0"/>
          <w:sz w:val="32"/>
          <w:szCs w:val="32"/>
          <w:lang w:val="en-US" w:eastAsia="zh-CN"/>
        </w:rPr>
        <w:t>，</w:t>
      </w:r>
      <w:r>
        <w:rPr>
          <w:rFonts w:hint="eastAsia" w:ascii="仿宋_GB2312" w:hAnsi="Helvetica" w:cs="Helvetica"/>
          <w:kern w:val="0"/>
          <w:sz w:val="32"/>
          <w:szCs w:val="32"/>
        </w:rPr>
        <w:t>单位价值50万元以上大型设备0台（套），单位价值100万</w:t>
      </w:r>
      <w:r>
        <w:rPr>
          <w:rFonts w:hint="eastAsia" w:ascii="仿宋_GB2312" w:hAnsi="Helvetica" w:cs="Helvetica"/>
          <w:color w:val="3E3E3E"/>
          <w:kern w:val="0"/>
          <w:sz w:val="32"/>
          <w:szCs w:val="32"/>
        </w:rPr>
        <w:t>元以上大型设备0台（套）。</w:t>
      </w:r>
    </w:p>
    <w:p w14:paraId="618E4A56">
      <w:pPr>
        <w:spacing w:line="560" w:lineRule="exact"/>
        <w:ind w:firstLine="643"/>
        <w:rPr>
          <w:rFonts w:ascii="仿宋_GB2312"/>
          <w:b/>
          <w:sz w:val="32"/>
          <w:szCs w:val="32"/>
        </w:rPr>
      </w:pPr>
      <w:r>
        <w:rPr>
          <w:rFonts w:hint="eastAsia" w:ascii="仿宋_GB2312"/>
          <w:b/>
          <w:sz w:val="32"/>
          <w:szCs w:val="32"/>
        </w:rPr>
        <w:t>4、其他重要事项的情况说明</w:t>
      </w:r>
    </w:p>
    <w:p w14:paraId="0FC3798E">
      <w:pPr>
        <w:spacing w:line="560" w:lineRule="exact"/>
        <w:ind w:firstLine="640"/>
        <w:rPr>
          <w:rFonts w:ascii="仿宋_GB2312"/>
          <w:sz w:val="32"/>
          <w:szCs w:val="32"/>
        </w:rPr>
      </w:pPr>
      <w:r>
        <w:rPr>
          <w:rFonts w:hint="eastAsia" w:ascii="仿宋_GB2312"/>
          <w:sz w:val="32"/>
          <w:szCs w:val="32"/>
        </w:rPr>
        <w:t>本部门无其他重要事项的情况说明</w:t>
      </w:r>
    </w:p>
    <w:p w14:paraId="4FBD296C">
      <w:pPr>
        <w:spacing w:line="560" w:lineRule="exact"/>
        <w:ind w:firstLine="640"/>
        <w:rPr>
          <w:rFonts w:asciiTheme="minorEastAsia" w:hAnsiTheme="minorEastAsia"/>
          <w:sz w:val="32"/>
          <w:szCs w:val="32"/>
        </w:rPr>
      </w:pPr>
      <w:r>
        <w:rPr>
          <w:rFonts w:hint="eastAsia" w:ascii="仿宋_GB2312"/>
          <w:sz w:val="32"/>
          <w:szCs w:val="32"/>
        </w:rPr>
        <w:t xml:space="preserve">                             </w:t>
      </w:r>
    </w:p>
    <w:p w14:paraId="5524CF1F">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第四部分 名词解释</w:t>
      </w:r>
    </w:p>
    <w:p w14:paraId="2B5B860E">
      <w:pPr>
        <w:rPr>
          <w:b/>
          <w:sz w:val="36"/>
          <w:szCs w:val="36"/>
        </w:rPr>
      </w:pPr>
      <w:r>
        <w:rPr>
          <w:rFonts w:hint="eastAsia"/>
          <w:b/>
          <w:sz w:val="36"/>
          <w:szCs w:val="36"/>
        </w:rPr>
        <w:t>一、 财政拨款收入</w:t>
      </w:r>
    </w:p>
    <w:p w14:paraId="49BC0440">
      <w:pPr>
        <w:ind w:firstLine="640" w:firstLineChars="200"/>
        <w:rPr>
          <w:rFonts w:asciiTheme="minorEastAsia" w:hAnsiTheme="minorEastAsia"/>
          <w:sz w:val="32"/>
          <w:szCs w:val="32"/>
        </w:rPr>
      </w:pPr>
      <w:r>
        <w:rPr>
          <w:rFonts w:hint="eastAsia" w:asciiTheme="minorEastAsia" w:hAnsiTheme="minorEastAsia"/>
          <w:sz w:val="32"/>
          <w:szCs w:val="32"/>
        </w:rPr>
        <w:t>本年度从本级财政部门取得的财政拨款，包括一般公共预算财政拨款和政府性基金预算财政拨款。</w:t>
      </w:r>
    </w:p>
    <w:p w14:paraId="2A795231">
      <w:pPr>
        <w:rPr>
          <w:b/>
          <w:sz w:val="36"/>
          <w:szCs w:val="36"/>
        </w:rPr>
      </w:pPr>
      <w:r>
        <w:rPr>
          <w:rFonts w:hint="eastAsia"/>
          <w:b/>
          <w:sz w:val="36"/>
          <w:szCs w:val="36"/>
        </w:rPr>
        <w:t>二、 事业收入</w:t>
      </w:r>
    </w:p>
    <w:p w14:paraId="0BDC18E9">
      <w:pPr>
        <w:ind w:firstLine="640" w:firstLineChars="200"/>
        <w:rPr>
          <w:rFonts w:asciiTheme="minorEastAsia" w:hAnsiTheme="minorEastAsia"/>
          <w:sz w:val="32"/>
          <w:szCs w:val="32"/>
        </w:rPr>
      </w:pPr>
      <w:r>
        <w:rPr>
          <w:rFonts w:hint="eastAsia" w:asciiTheme="minorEastAsia" w:hAnsiTheme="minorEastAsia"/>
          <w:sz w:val="32"/>
          <w:szCs w:val="32"/>
        </w:rPr>
        <w:t>指事业单位开展专业业务活动及辅助活动所取得的收入。</w:t>
      </w:r>
    </w:p>
    <w:p w14:paraId="7DFE8D0E">
      <w:pPr>
        <w:rPr>
          <w:b/>
          <w:sz w:val="36"/>
          <w:szCs w:val="36"/>
        </w:rPr>
      </w:pPr>
      <w:r>
        <w:rPr>
          <w:rFonts w:hint="eastAsia"/>
          <w:b/>
          <w:sz w:val="36"/>
          <w:szCs w:val="36"/>
        </w:rPr>
        <w:t>三、 其他收入</w:t>
      </w:r>
    </w:p>
    <w:p w14:paraId="7E1A98E2">
      <w:pPr>
        <w:ind w:firstLine="640" w:firstLineChars="200"/>
        <w:rPr>
          <w:rFonts w:asciiTheme="minorEastAsia" w:hAnsiTheme="minorEastAsia"/>
          <w:sz w:val="32"/>
          <w:szCs w:val="32"/>
        </w:rPr>
      </w:pPr>
      <w:r>
        <w:rPr>
          <w:rFonts w:hint="eastAsia" w:asciiTheme="minorEastAsia" w:hAnsiTheme="minorEastAsia"/>
          <w:sz w:val="32"/>
          <w:szCs w:val="32"/>
        </w:rPr>
        <w:t>指除上述“ 财政拨款收入” 、 “ 事业收入” 、 “ 经营收入” 等以外的收入。</w:t>
      </w:r>
    </w:p>
    <w:p w14:paraId="74FB86B4">
      <w:pPr>
        <w:rPr>
          <w:b/>
          <w:sz w:val="36"/>
          <w:szCs w:val="36"/>
        </w:rPr>
      </w:pPr>
      <w:r>
        <w:rPr>
          <w:rFonts w:hint="eastAsia"/>
          <w:b/>
          <w:sz w:val="36"/>
          <w:szCs w:val="36"/>
        </w:rPr>
        <w:t>四、 用事业基金弥补收支差额</w:t>
      </w:r>
    </w:p>
    <w:p w14:paraId="3DAF1AFE">
      <w:pPr>
        <w:ind w:firstLine="640" w:firstLineChars="200"/>
        <w:rPr>
          <w:rFonts w:asciiTheme="minorEastAsia" w:hAnsiTheme="minorEastAsia"/>
          <w:sz w:val="32"/>
          <w:szCs w:val="32"/>
        </w:rPr>
      </w:pPr>
      <w:r>
        <w:rPr>
          <w:rFonts w:hint="eastAsia" w:asciiTheme="minorEastAsia" w:hAnsiTheme="minorEastAsia"/>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14:paraId="2303975A">
      <w:pPr>
        <w:rPr>
          <w:b/>
          <w:sz w:val="36"/>
          <w:szCs w:val="36"/>
        </w:rPr>
      </w:pPr>
      <w:r>
        <w:rPr>
          <w:rFonts w:hint="eastAsia"/>
          <w:b/>
          <w:sz w:val="36"/>
          <w:szCs w:val="36"/>
        </w:rPr>
        <w:t>五、 年初结转和结余</w:t>
      </w:r>
    </w:p>
    <w:p w14:paraId="67CD93EC">
      <w:pPr>
        <w:ind w:firstLine="640" w:firstLineChars="200"/>
        <w:rPr>
          <w:rFonts w:asciiTheme="minorEastAsia" w:hAnsiTheme="minorEastAsia"/>
          <w:sz w:val="32"/>
          <w:szCs w:val="32"/>
        </w:rPr>
      </w:pPr>
      <w:r>
        <w:rPr>
          <w:rFonts w:hint="eastAsia" w:asciiTheme="minorEastAsia" w:hAnsiTheme="minorEastAsia"/>
          <w:sz w:val="32"/>
          <w:szCs w:val="32"/>
        </w:rPr>
        <w:t>指以前年度尚未完成、结转到本年仍按原规定用途继续使用的资金，或项目已完成等产生的结余资金。</w:t>
      </w:r>
    </w:p>
    <w:p w14:paraId="03593FF5">
      <w:pPr>
        <w:rPr>
          <w:b/>
          <w:sz w:val="36"/>
          <w:szCs w:val="36"/>
        </w:rPr>
      </w:pPr>
      <w:r>
        <w:rPr>
          <w:rFonts w:hint="eastAsia"/>
          <w:b/>
          <w:sz w:val="36"/>
          <w:szCs w:val="36"/>
        </w:rPr>
        <w:t>六、 结余分配</w:t>
      </w:r>
    </w:p>
    <w:p w14:paraId="2638449C">
      <w:pPr>
        <w:ind w:firstLine="640" w:firstLineChars="200"/>
        <w:rPr>
          <w:rFonts w:asciiTheme="minorEastAsia" w:hAnsiTheme="minorEastAsia"/>
          <w:sz w:val="32"/>
          <w:szCs w:val="32"/>
        </w:rPr>
      </w:pPr>
      <w:r>
        <w:rPr>
          <w:rFonts w:hint="eastAsia" w:asciiTheme="minorEastAsia" w:hAnsiTheme="minorEastAsia"/>
          <w:sz w:val="32"/>
          <w:szCs w:val="32"/>
        </w:rPr>
        <w:t>指事业单位按照事业单位会计制度的规定从非财政补助结余中分配的事业基金和职工福利基金等。</w:t>
      </w:r>
    </w:p>
    <w:p w14:paraId="3BA735F0">
      <w:pPr>
        <w:rPr>
          <w:b/>
          <w:sz w:val="36"/>
          <w:szCs w:val="36"/>
        </w:rPr>
      </w:pPr>
      <w:r>
        <w:rPr>
          <w:rFonts w:hint="eastAsia"/>
          <w:b/>
          <w:sz w:val="36"/>
          <w:szCs w:val="36"/>
        </w:rPr>
        <w:t>七、 年末结转和结余</w:t>
      </w:r>
    </w:p>
    <w:p w14:paraId="4B6EE200">
      <w:pPr>
        <w:ind w:firstLine="640" w:firstLineChars="200"/>
        <w:rPr>
          <w:rFonts w:asciiTheme="minorEastAsia" w:hAnsiTheme="minorEastAsia"/>
          <w:sz w:val="32"/>
          <w:szCs w:val="32"/>
        </w:rPr>
      </w:pPr>
      <w:r>
        <w:rPr>
          <w:rFonts w:hint="eastAsia" w:asciiTheme="minorEastAsia" w:hAnsiTheme="minorEastAsia"/>
          <w:sz w:val="32"/>
          <w:szCs w:val="32"/>
        </w:rPr>
        <w:t>指单位按有关规定结转到下年或以后年度继续使用的资金，或项目已完成等产生的结余资金。</w:t>
      </w:r>
    </w:p>
    <w:p w14:paraId="41078E2D">
      <w:pPr>
        <w:rPr>
          <w:b/>
          <w:sz w:val="36"/>
          <w:szCs w:val="36"/>
        </w:rPr>
      </w:pPr>
      <w:r>
        <w:rPr>
          <w:rFonts w:hint="eastAsia"/>
          <w:b/>
          <w:sz w:val="36"/>
          <w:szCs w:val="36"/>
        </w:rPr>
        <w:t>八、 基本支出</w:t>
      </w:r>
    </w:p>
    <w:p w14:paraId="1C32938F">
      <w:pPr>
        <w:ind w:firstLine="640" w:firstLineChars="200"/>
        <w:rPr>
          <w:rFonts w:asciiTheme="minorEastAsia" w:hAnsiTheme="minorEastAsia"/>
          <w:sz w:val="32"/>
          <w:szCs w:val="32"/>
        </w:rPr>
      </w:pPr>
      <w:r>
        <w:rPr>
          <w:rFonts w:hint="eastAsia" w:asciiTheme="minorEastAsia" w:hAnsiTheme="minorEastAsia"/>
          <w:sz w:val="32"/>
          <w:szCs w:val="32"/>
        </w:rPr>
        <w:t>指单位为保障机构正常运转、完成日常工作任务而发生的各项支出。</w:t>
      </w:r>
    </w:p>
    <w:p w14:paraId="27691B03">
      <w:pPr>
        <w:rPr>
          <w:b/>
          <w:sz w:val="36"/>
          <w:szCs w:val="36"/>
        </w:rPr>
      </w:pPr>
      <w:r>
        <w:rPr>
          <w:rFonts w:hint="eastAsia"/>
          <w:b/>
          <w:sz w:val="36"/>
          <w:szCs w:val="36"/>
        </w:rPr>
        <w:t>九、 项目支出</w:t>
      </w:r>
    </w:p>
    <w:p w14:paraId="18680D60">
      <w:pPr>
        <w:ind w:firstLine="640" w:firstLineChars="200"/>
        <w:rPr>
          <w:rFonts w:asciiTheme="minorEastAsia" w:hAnsiTheme="minorEastAsia"/>
          <w:sz w:val="32"/>
          <w:szCs w:val="32"/>
        </w:rPr>
      </w:pPr>
      <w:r>
        <w:rPr>
          <w:rFonts w:hint="eastAsia" w:asciiTheme="minorEastAsia" w:hAnsiTheme="minorEastAsia"/>
          <w:sz w:val="32"/>
          <w:szCs w:val="32"/>
        </w:rPr>
        <w:t>指单位为完成特定的行政工作任务或事业发展目标，在基本支出之外发生的各项支出。</w:t>
      </w:r>
    </w:p>
    <w:p w14:paraId="62A6BC53">
      <w:pPr>
        <w:rPr>
          <w:b/>
          <w:sz w:val="36"/>
          <w:szCs w:val="36"/>
        </w:rPr>
      </w:pPr>
      <w:r>
        <w:rPr>
          <w:rFonts w:hint="eastAsia"/>
          <w:b/>
          <w:sz w:val="36"/>
          <w:szCs w:val="36"/>
        </w:rPr>
        <w:t>十、 基本建设支出</w:t>
      </w:r>
    </w:p>
    <w:p w14:paraId="7780F912">
      <w:pPr>
        <w:ind w:firstLine="640" w:firstLineChars="200"/>
        <w:rPr>
          <w:rFonts w:asciiTheme="minorEastAsia" w:hAnsiTheme="minorEastAsia"/>
          <w:sz w:val="32"/>
          <w:szCs w:val="32"/>
        </w:rPr>
      </w:pPr>
      <w:r>
        <w:rPr>
          <w:rFonts w:hint="eastAsia" w:asciiTheme="minorEastAsia" w:hAnsiTheme="minorEastAsia"/>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66ED142">
      <w:pPr>
        <w:rPr>
          <w:b/>
          <w:sz w:val="36"/>
          <w:szCs w:val="36"/>
        </w:rPr>
      </w:pPr>
      <w:r>
        <w:rPr>
          <w:rFonts w:hint="eastAsia"/>
          <w:b/>
          <w:sz w:val="36"/>
          <w:szCs w:val="36"/>
        </w:rPr>
        <w:t>十一、 其他资本性支出</w:t>
      </w:r>
    </w:p>
    <w:p w14:paraId="670F6A8D">
      <w:pPr>
        <w:ind w:firstLine="640" w:firstLineChars="200"/>
        <w:rPr>
          <w:rFonts w:asciiTheme="minorEastAsia" w:hAnsiTheme="minorEastAsia"/>
          <w:sz w:val="32"/>
          <w:szCs w:val="32"/>
        </w:rPr>
      </w:pPr>
      <w:r>
        <w:rPr>
          <w:rFonts w:hint="eastAsia" w:asciiTheme="minorEastAsia" w:hAnsiTheme="minorEastAsia"/>
          <w:sz w:val="32"/>
          <w:szCs w:val="32"/>
        </w:rPr>
        <w:t>由各级非发展与改革部门集中安排的用于购置固定资产、战备性和应急性储备、土地和无形资产，以及购建基础设施、大型修缮和财政支持企业更新改造所发生的支出。</w:t>
      </w:r>
    </w:p>
    <w:p w14:paraId="135FE372">
      <w:pPr>
        <w:rPr>
          <w:b/>
          <w:sz w:val="36"/>
          <w:szCs w:val="36"/>
        </w:rPr>
      </w:pPr>
      <w:r>
        <w:rPr>
          <w:rFonts w:hint="eastAsia"/>
          <w:b/>
          <w:sz w:val="36"/>
          <w:szCs w:val="36"/>
        </w:rPr>
        <w:t>十二、 “ 三公” 经费</w:t>
      </w:r>
    </w:p>
    <w:p w14:paraId="60982085">
      <w:pPr>
        <w:ind w:firstLine="640" w:firstLineChars="200"/>
        <w:rPr>
          <w:rFonts w:asciiTheme="minorEastAsia" w:hAnsiTheme="minorEastAsia"/>
          <w:sz w:val="32"/>
          <w:szCs w:val="32"/>
        </w:rPr>
      </w:pPr>
      <w:r>
        <w:rPr>
          <w:rFonts w:hint="eastAsia" w:asciiTheme="minorEastAsia" w:hAnsiTheme="minorEastAsia"/>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14:paraId="101AC1B5">
      <w:pPr>
        <w:rPr>
          <w:b/>
          <w:sz w:val="36"/>
          <w:szCs w:val="36"/>
        </w:rPr>
      </w:pPr>
      <w:r>
        <w:rPr>
          <w:rFonts w:hint="eastAsia"/>
          <w:b/>
          <w:sz w:val="36"/>
          <w:szCs w:val="36"/>
        </w:rPr>
        <w:t>十三、 其他交通费用</w:t>
      </w:r>
    </w:p>
    <w:p w14:paraId="15F1EAFE">
      <w:pPr>
        <w:ind w:firstLine="640" w:firstLineChars="200"/>
        <w:rPr>
          <w:rFonts w:asciiTheme="minorEastAsia" w:hAnsiTheme="minorEastAsia"/>
          <w:sz w:val="32"/>
          <w:szCs w:val="32"/>
        </w:rPr>
      </w:pPr>
      <w:r>
        <w:rPr>
          <w:rFonts w:hint="eastAsia" w:asciiTheme="minorEastAsia" w:hAnsiTheme="minorEastAsia"/>
          <w:sz w:val="32"/>
          <w:szCs w:val="32"/>
        </w:rPr>
        <w:t>指单位除公务用车运行维护费以外的其他交通费用。如飞机、船舶等的燃料费、维修费、过桥过路费、保险费、出租车费用、公务交通补贴等。</w:t>
      </w:r>
    </w:p>
    <w:p w14:paraId="72C467A3">
      <w:pPr>
        <w:rPr>
          <w:b/>
          <w:sz w:val="36"/>
          <w:szCs w:val="36"/>
        </w:rPr>
      </w:pPr>
      <w:r>
        <w:rPr>
          <w:rFonts w:hint="eastAsia"/>
          <w:b/>
          <w:sz w:val="36"/>
          <w:szCs w:val="36"/>
        </w:rPr>
        <w:t>十四、 公务用车购置</w:t>
      </w:r>
    </w:p>
    <w:p w14:paraId="0D78E501">
      <w:pPr>
        <w:ind w:firstLine="640" w:firstLineChars="200"/>
        <w:rPr>
          <w:rFonts w:asciiTheme="minorEastAsia" w:hAnsiTheme="minorEastAsia"/>
          <w:sz w:val="32"/>
          <w:szCs w:val="32"/>
        </w:rPr>
      </w:pPr>
      <w:r>
        <w:rPr>
          <w:rFonts w:hint="eastAsia" w:asciiTheme="minorEastAsia" w:hAnsiTheme="minorEastAsia"/>
          <w:sz w:val="32"/>
          <w:szCs w:val="32"/>
        </w:rPr>
        <w:t>指单位公务用车车辆购置支出（含车辆购置税）。</w:t>
      </w:r>
    </w:p>
    <w:p w14:paraId="32B1F58B">
      <w:pPr>
        <w:rPr>
          <w:b/>
          <w:sz w:val="36"/>
          <w:szCs w:val="36"/>
        </w:rPr>
      </w:pPr>
      <w:r>
        <w:rPr>
          <w:rFonts w:hint="eastAsia"/>
          <w:b/>
          <w:sz w:val="36"/>
          <w:szCs w:val="36"/>
        </w:rPr>
        <w:t>十五、 其他交通工具购置</w:t>
      </w:r>
    </w:p>
    <w:p w14:paraId="6CDF04CC">
      <w:pPr>
        <w:ind w:firstLine="640" w:firstLineChars="200"/>
        <w:rPr>
          <w:rFonts w:asciiTheme="minorEastAsia" w:hAnsiTheme="minorEastAsia"/>
          <w:sz w:val="32"/>
          <w:szCs w:val="32"/>
        </w:rPr>
      </w:pPr>
      <w:r>
        <w:rPr>
          <w:rFonts w:hint="eastAsia" w:asciiTheme="minorEastAsia" w:hAnsiTheme="minorEastAsia"/>
          <w:sz w:val="32"/>
          <w:szCs w:val="32"/>
        </w:rPr>
        <w:t>单位除公务用车外的其他各类交通工具（ 如船舶、 飞机）购置支出（含车辆购置税）。</w:t>
      </w:r>
    </w:p>
    <w:p w14:paraId="7FB58BB0">
      <w:pPr>
        <w:rPr>
          <w:b/>
          <w:sz w:val="36"/>
          <w:szCs w:val="36"/>
        </w:rPr>
      </w:pPr>
      <w:r>
        <w:rPr>
          <w:rFonts w:hint="eastAsia"/>
          <w:b/>
          <w:sz w:val="36"/>
          <w:szCs w:val="36"/>
        </w:rPr>
        <w:t>十六、 机关运行经费</w:t>
      </w:r>
    </w:p>
    <w:p w14:paraId="202BF5D9">
      <w:pPr>
        <w:ind w:firstLine="640" w:firstLineChars="200"/>
        <w:rPr>
          <w:rFonts w:asciiTheme="minorEastAsia" w:hAnsiTheme="minorEastAsia"/>
          <w:sz w:val="32"/>
          <w:szCs w:val="32"/>
        </w:rPr>
      </w:pPr>
      <w:r>
        <w:rPr>
          <w:rFonts w:hint="eastAsia" w:asciiTheme="minorEastAsia" w:hAnsiTheme="minorEastAsia"/>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7A47CB2">
      <w:pPr>
        <w:ind w:firstLine="640" w:firstLineChars="200"/>
        <w:rPr>
          <w:rFonts w:asciiTheme="minorEastAsia" w:hAnsiTheme="minorEastAsia"/>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Helvetica">
    <w:altName w:val="Arial"/>
    <w:panose1 w:val="020B0604020202020204"/>
    <w:charset w:val="00"/>
    <w:family w:val="swiss"/>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C2BBCE7"/>
    <w:multiLevelType w:val="singleLevel"/>
    <w:tmpl w:val="4C2BBCE7"/>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F6B63"/>
    <w:rsid w:val="00005D8D"/>
    <w:rsid w:val="000C1629"/>
    <w:rsid w:val="000F6B63"/>
    <w:rsid w:val="00172F4B"/>
    <w:rsid w:val="001C2AA1"/>
    <w:rsid w:val="002154B6"/>
    <w:rsid w:val="00225112"/>
    <w:rsid w:val="0029221F"/>
    <w:rsid w:val="003015AB"/>
    <w:rsid w:val="00304F9E"/>
    <w:rsid w:val="00386F62"/>
    <w:rsid w:val="00396F4E"/>
    <w:rsid w:val="004C6C9A"/>
    <w:rsid w:val="005651CC"/>
    <w:rsid w:val="005B640A"/>
    <w:rsid w:val="0073228C"/>
    <w:rsid w:val="007366E2"/>
    <w:rsid w:val="00740959"/>
    <w:rsid w:val="007D25CA"/>
    <w:rsid w:val="00966E2C"/>
    <w:rsid w:val="00A40493"/>
    <w:rsid w:val="00A711B9"/>
    <w:rsid w:val="00A72965"/>
    <w:rsid w:val="00AA30B9"/>
    <w:rsid w:val="00B3628C"/>
    <w:rsid w:val="00B75291"/>
    <w:rsid w:val="00C15A1F"/>
    <w:rsid w:val="00D12C2E"/>
    <w:rsid w:val="00EA73A9"/>
    <w:rsid w:val="00ED6BE4"/>
    <w:rsid w:val="00F435DB"/>
    <w:rsid w:val="00FD214C"/>
    <w:rsid w:val="00FE5519"/>
    <w:rsid w:val="06ED6EDD"/>
    <w:rsid w:val="0A304F25"/>
    <w:rsid w:val="0B6E28DD"/>
    <w:rsid w:val="0BDC3CBE"/>
    <w:rsid w:val="11485435"/>
    <w:rsid w:val="153A5B56"/>
    <w:rsid w:val="16D92A0D"/>
    <w:rsid w:val="17214542"/>
    <w:rsid w:val="1A1857DE"/>
    <w:rsid w:val="1B084EC0"/>
    <w:rsid w:val="1C97260F"/>
    <w:rsid w:val="23674F57"/>
    <w:rsid w:val="27273028"/>
    <w:rsid w:val="296F6F28"/>
    <w:rsid w:val="29B10567"/>
    <w:rsid w:val="29C33D4B"/>
    <w:rsid w:val="2D7F21D8"/>
    <w:rsid w:val="31995290"/>
    <w:rsid w:val="31C40070"/>
    <w:rsid w:val="334C1FF6"/>
    <w:rsid w:val="35E66E5B"/>
    <w:rsid w:val="3823173A"/>
    <w:rsid w:val="3AFD081E"/>
    <w:rsid w:val="3B8544CD"/>
    <w:rsid w:val="3BB312C5"/>
    <w:rsid w:val="41034230"/>
    <w:rsid w:val="4577790F"/>
    <w:rsid w:val="45C507DB"/>
    <w:rsid w:val="484232EB"/>
    <w:rsid w:val="495E5B05"/>
    <w:rsid w:val="50F55BF4"/>
    <w:rsid w:val="52A71C2C"/>
    <w:rsid w:val="5AEF1928"/>
    <w:rsid w:val="5D141A19"/>
    <w:rsid w:val="61F477A3"/>
    <w:rsid w:val="62BF56FF"/>
    <w:rsid w:val="651C57DD"/>
    <w:rsid w:val="6B4C6AE1"/>
    <w:rsid w:val="7170218F"/>
    <w:rsid w:val="72A93B93"/>
    <w:rsid w:val="773056AA"/>
    <w:rsid w:val="79184A3E"/>
    <w:rsid w:val="7DFD023F"/>
    <w:rsid w:val="7F3F70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23"/>
    <w:semiHidden/>
    <w:unhideWhenUsed/>
    <w:qFormat/>
    <w:uiPriority w:val="99"/>
    <w:rPr>
      <w:sz w:val="18"/>
      <w:szCs w:val="18"/>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link w:val="20"/>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10">
    <w:name w:val="Title"/>
    <w:basedOn w:val="1"/>
    <w:next w:val="1"/>
    <w:link w:val="18"/>
    <w:qFormat/>
    <w:uiPriority w:val="10"/>
    <w:pPr>
      <w:spacing w:before="240" w:after="60"/>
      <w:jc w:val="center"/>
      <w:outlineLvl w:val="0"/>
    </w:pPr>
    <w:rPr>
      <w:rFonts w:eastAsia="宋体" w:asciiTheme="majorHAnsi" w:hAnsiTheme="majorHAnsi" w:cstheme="majorBidi"/>
      <w:b/>
      <w:bCs/>
      <w:sz w:val="32"/>
      <w:szCs w:val="32"/>
    </w:rPr>
  </w:style>
  <w:style w:type="table" w:styleId="12">
    <w:name w:val="Table Grid"/>
    <w:basedOn w:val="1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4">
    <w:name w:val="页眉 Char"/>
    <w:basedOn w:val="13"/>
    <w:link w:val="8"/>
    <w:qFormat/>
    <w:uiPriority w:val="99"/>
    <w:rPr>
      <w:sz w:val="18"/>
      <w:szCs w:val="18"/>
    </w:rPr>
  </w:style>
  <w:style w:type="character" w:customStyle="1" w:styleId="15">
    <w:name w:val="页脚 Char"/>
    <w:basedOn w:val="13"/>
    <w:link w:val="7"/>
    <w:qFormat/>
    <w:uiPriority w:val="99"/>
    <w:rPr>
      <w:sz w:val="18"/>
      <w:szCs w:val="18"/>
    </w:rPr>
  </w:style>
  <w:style w:type="character" w:customStyle="1" w:styleId="16">
    <w:name w:val="标题 1 Char"/>
    <w:basedOn w:val="13"/>
    <w:link w:val="2"/>
    <w:qFormat/>
    <w:uiPriority w:val="9"/>
    <w:rPr>
      <w:b/>
      <w:bCs/>
      <w:kern w:val="44"/>
      <w:sz w:val="44"/>
      <w:szCs w:val="44"/>
    </w:rPr>
  </w:style>
  <w:style w:type="character" w:customStyle="1" w:styleId="17">
    <w:name w:val="标题 2 Char"/>
    <w:basedOn w:val="13"/>
    <w:link w:val="3"/>
    <w:qFormat/>
    <w:uiPriority w:val="9"/>
    <w:rPr>
      <w:rFonts w:asciiTheme="majorHAnsi" w:hAnsiTheme="majorHAnsi" w:eastAsiaTheme="majorEastAsia" w:cstheme="majorBidi"/>
      <w:b/>
      <w:bCs/>
      <w:sz w:val="32"/>
      <w:szCs w:val="32"/>
    </w:rPr>
  </w:style>
  <w:style w:type="character" w:customStyle="1" w:styleId="18">
    <w:name w:val="标题 Char"/>
    <w:basedOn w:val="13"/>
    <w:link w:val="10"/>
    <w:qFormat/>
    <w:uiPriority w:val="10"/>
    <w:rPr>
      <w:rFonts w:eastAsia="宋体" w:asciiTheme="majorHAnsi" w:hAnsiTheme="majorHAnsi" w:cstheme="majorBidi"/>
      <w:b/>
      <w:bCs/>
      <w:sz w:val="32"/>
      <w:szCs w:val="32"/>
    </w:rPr>
  </w:style>
  <w:style w:type="character" w:customStyle="1" w:styleId="19">
    <w:name w:val="标题 3 Char"/>
    <w:basedOn w:val="13"/>
    <w:link w:val="4"/>
    <w:qFormat/>
    <w:uiPriority w:val="9"/>
    <w:rPr>
      <w:b/>
      <w:bCs/>
      <w:sz w:val="32"/>
      <w:szCs w:val="32"/>
    </w:rPr>
  </w:style>
  <w:style w:type="character" w:customStyle="1" w:styleId="20">
    <w:name w:val="副标题 Char"/>
    <w:basedOn w:val="13"/>
    <w:link w:val="9"/>
    <w:qFormat/>
    <w:uiPriority w:val="11"/>
    <w:rPr>
      <w:rFonts w:eastAsia="宋体" w:asciiTheme="majorHAnsi" w:hAnsiTheme="majorHAnsi" w:cstheme="majorBidi"/>
      <w:b/>
      <w:bCs/>
      <w:kern w:val="28"/>
      <w:sz w:val="32"/>
      <w:szCs w:val="32"/>
    </w:rPr>
  </w:style>
  <w:style w:type="character" w:customStyle="1" w:styleId="21">
    <w:name w:val="标题 4 Char"/>
    <w:basedOn w:val="13"/>
    <w:link w:val="5"/>
    <w:qFormat/>
    <w:uiPriority w:val="9"/>
    <w:rPr>
      <w:rFonts w:asciiTheme="majorHAnsi" w:hAnsiTheme="majorHAnsi" w:eastAsiaTheme="majorEastAsia" w:cstheme="majorBidi"/>
      <w:b/>
      <w:bCs/>
      <w:sz w:val="28"/>
      <w:szCs w:val="28"/>
    </w:rPr>
  </w:style>
  <w:style w:type="paragraph" w:styleId="22">
    <w:name w:val="List Paragraph"/>
    <w:basedOn w:val="1"/>
    <w:qFormat/>
    <w:uiPriority w:val="34"/>
    <w:pPr>
      <w:ind w:firstLine="420" w:firstLineChars="200"/>
    </w:pPr>
  </w:style>
  <w:style w:type="character" w:customStyle="1" w:styleId="23">
    <w:name w:val="批注框文本 Char"/>
    <w:basedOn w:val="13"/>
    <w:link w:val="6"/>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5098634294385"/>
          <c:y val="0.0959173635022135"/>
          <c:w val="0.460698027314112"/>
          <c:h val="0.746679783571078"/>
        </c:manualLayout>
      </c:layout>
      <c:pieChart>
        <c:varyColors val="1"/>
        <c:ser>
          <c:idx val="0"/>
          <c:order val="0"/>
          <c:tx>
            <c:strRef>
              <c:f>Sheet1!$B$1</c:f>
              <c:strCache>
                <c:ptCount val="1"/>
                <c:pt idx="0">
                  <c:v>决算收入</c:v>
                </c:pt>
              </c:strCache>
            </c:strRef>
          </c:tx>
          <c:explosion val="0"/>
          <c:dPt>
            <c:idx val="0"/>
            <c:bubble3D val="0"/>
            <c:spPr>
              <a:solidFill>
                <a:schemeClr val="accent1"/>
              </a:solidFill>
              <a:ln>
                <a:noFill/>
              </a:ln>
              <a:effectLst>
                <a:outerShdw blurRad="317500" algn="ctr" rotWithShape="0">
                  <a:prstClr val="black">
                    <a:alpha val="25000"/>
                  </a:prstClr>
                </a:outerShdw>
              </a:effectLst>
            </c:spPr>
          </c:dPt>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prstDash val="solid"/>
                      <a:round/>
                    </a:ln>
                    <a:effectLst/>
                  </c:spPr>
                </c15:leaderLines>
              </c:ext>
            </c:extLst>
          </c:dLbls>
          <c:cat>
            <c:strRef>
              <c:f>Sheet1!$A$2</c:f>
              <c:strCache>
                <c:ptCount val="1"/>
                <c:pt idx="0">
                  <c:v>第一季度</c:v>
                </c:pt>
              </c:strCache>
            </c:strRef>
          </c:cat>
          <c:val>
            <c:numRef>
              <c:f>Sheet1!$B$2</c:f>
              <c:numCache>
                <c:formatCode>General</c:formatCode>
                <c:ptCount val="1"/>
                <c:pt idx="0">
                  <c:v>10</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19771137952956"/>
          <c:y val="0.019774011299435"/>
        </c:manualLayout>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图2：支出决算饼状图</c:v>
                </c:pt>
              </c:strCache>
            </c:strRef>
          </c:tx>
          <c:spPr/>
          <c:explosion val="0"/>
          <c:dPt>
            <c:idx val="0"/>
            <c:bubble3D val="0"/>
            <c:spPr>
              <a:solidFill>
                <a:schemeClr val="accent1"/>
              </a:solidFill>
              <a:ln w="19050">
                <a:solidFill>
                  <a:schemeClr val="lt1"/>
                </a:solidFill>
              </a:ln>
              <a:effectLst/>
            </c:spPr>
          </c:dPt>
          <c:dLbls>
            <c:delete val="1"/>
          </c:dLbls>
          <c:cat>
            <c:numRef>
              <c:f>Sheet1!$A$2</c:f>
              <c:numCache>
                <c:formatCode>0%</c:formatCode>
                <c:ptCount val="1"/>
                <c:pt idx="0" c:formatCode="0%">
                  <c:v>1</c:v>
                </c:pt>
              </c:numCache>
            </c:numRef>
          </c:cat>
          <c:val>
            <c:numRef>
              <c:f>Sheet1!$B$2</c:f>
              <c:numCache>
                <c:formatCode>General</c:formatCode>
                <c:ptCount val="1"/>
                <c:pt idx="0">
                  <c:v>10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917C034-0F40-4960-8E00-6951C8718653}">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15</Pages>
  <Words>4753</Words>
  <Characters>5168</Characters>
  <Lines>38</Lines>
  <Paragraphs>10</Paragraphs>
  <TotalTime>1</TotalTime>
  <ScaleCrop>false</ScaleCrop>
  <LinksUpToDate>false</LinksUpToDate>
  <CharactersWithSpaces>5367</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2018-09-07T03:15:00Z</dcterms:created>
  <dc:creator>办公室</dc:creator>
  <cp:lastModifiedBy> </cp:lastModifiedBy>
  <dcterms:modified xsi:type="dcterms:W3CDTF">2024-08-09T06:22:43Z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C3E0E51E728A416084DAA520D322E665_12</vt:lpwstr>
  </property>
</Properties>
</file>