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223DF2">
      <w:pPr>
        <w:pStyle w:val="11"/>
        <w:ind w:left="360" w:firstLine="0" w:firstLineChars="0"/>
        <w:rPr>
          <w:rFonts w:hint="eastAsia"/>
          <w:b/>
          <w:sz w:val="72"/>
          <w:szCs w:val="72"/>
        </w:rPr>
      </w:pPr>
    </w:p>
    <w:p w14:paraId="10122FFF">
      <w:pPr>
        <w:pStyle w:val="11"/>
        <w:ind w:left="360" w:firstLine="0" w:firstLineChars="0"/>
        <w:rPr>
          <w:rFonts w:hint="eastAsia"/>
          <w:b/>
          <w:sz w:val="72"/>
          <w:szCs w:val="72"/>
        </w:rPr>
      </w:pPr>
    </w:p>
    <w:p w14:paraId="71127062">
      <w:pPr>
        <w:pStyle w:val="11"/>
        <w:ind w:left="360" w:firstLine="0" w:firstLineChars="0"/>
        <w:rPr>
          <w:rFonts w:hint="eastAsia"/>
          <w:b/>
          <w:sz w:val="72"/>
          <w:szCs w:val="72"/>
        </w:rPr>
      </w:pPr>
      <w:r>
        <w:rPr>
          <w:rFonts w:hint="eastAsia"/>
          <w:b/>
          <w:sz w:val="72"/>
          <w:szCs w:val="72"/>
        </w:rPr>
        <w:t>2017年度部门决算公开</w:t>
      </w:r>
    </w:p>
    <w:p w14:paraId="03B04003">
      <w:pPr>
        <w:pStyle w:val="11"/>
        <w:ind w:left="360" w:firstLine="0" w:firstLineChars="0"/>
        <w:rPr>
          <w:rFonts w:hint="eastAsia"/>
          <w:b/>
          <w:sz w:val="72"/>
          <w:szCs w:val="72"/>
        </w:rPr>
      </w:pPr>
    </w:p>
    <w:p w14:paraId="6BA1F278">
      <w:pPr>
        <w:pStyle w:val="11"/>
        <w:ind w:left="360" w:firstLine="0" w:firstLineChars="0"/>
        <w:rPr>
          <w:rFonts w:hint="eastAsia"/>
          <w:sz w:val="72"/>
          <w:szCs w:val="72"/>
        </w:rPr>
      </w:pPr>
    </w:p>
    <w:p w14:paraId="289128AB">
      <w:pPr>
        <w:pStyle w:val="11"/>
        <w:ind w:left="360" w:firstLine="0" w:firstLineChars="0"/>
        <w:rPr>
          <w:rFonts w:hint="eastAsia"/>
          <w:sz w:val="72"/>
          <w:szCs w:val="72"/>
        </w:rPr>
      </w:pPr>
    </w:p>
    <w:p w14:paraId="014850A8">
      <w:pPr>
        <w:pStyle w:val="11"/>
        <w:ind w:left="360" w:firstLine="0" w:firstLineChars="0"/>
        <w:rPr>
          <w:rFonts w:hint="eastAsia"/>
          <w:sz w:val="72"/>
          <w:szCs w:val="72"/>
        </w:rPr>
      </w:pPr>
    </w:p>
    <w:p w14:paraId="3C4CF032">
      <w:pPr>
        <w:rPr>
          <w:rFonts w:hint="eastAsia"/>
          <w:sz w:val="72"/>
          <w:szCs w:val="72"/>
        </w:rPr>
      </w:pPr>
    </w:p>
    <w:p w14:paraId="50C5496D">
      <w:pPr>
        <w:rPr>
          <w:rFonts w:hint="eastAsia"/>
          <w:sz w:val="72"/>
          <w:szCs w:val="72"/>
        </w:rPr>
      </w:pPr>
    </w:p>
    <w:p w14:paraId="46C48A2D">
      <w:pPr>
        <w:rPr>
          <w:rFonts w:hint="eastAsia"/>
          <w:sz w:val="72"/>
          <w:szCs w:val="72"/>
        </w:rPr>
      </w:pPr>
    </w:p>
    <w:p w14:paraId="0C86B528">
      <w:pPr>
        <w:pStyle w:val="11"/>
        <w:ind w:left="360" w:firstLine="0" w:firstLineChars="0"/>
        <w:jc w:val="center"/>
        <w:rPr>
          <w:rFonts w:hint="eastAsia"/>
          <w:b/>
          <w:sz w:val="44"/>
          <w:szCs w:val="44"/>
        </w:rPr>
      </w:pPr>
      <w:r>
        <w:rPr>
          <w:rFonts w:hint="eastAsia"/>
          <w:b/>
          <w:sz w:val="44"/>
          <w:szCs w:val="44"/>
        </w:rPr>
        <w:t>藁城区</w:t>
      </w:r>
      <w:r>
        <w:rPr>
          <w:rFonts w:hint="eastAsia"/>
          <w:b/>
          <w:sz w:val="44"/>
          <w:szCs w:val="44"/>
          <w:lang w:eastAsia="zh-CN"/>
        </w:rPr>
        <w:t>公安</w:t>
      </w:r>
      <w:r>
        <w:rPr>
          <w:rFonts w:hint="eastAsia"/>
          <w:b/>
          <w:sz w:val="44"/>
          <w:szCs w:val="44"/>
        </w:rPr>
        <w:t>局</w:t>
      </w:r>
    </w:p>
    <w:p w14:paraId="205C64E4">
      <w:pPr>
        <w:pStyle w:val="11"/>
        <w:ind w:left="360" w:firstLine="0" w:firstLineChars="0"/>
        <w:jc w:val="center"/>
        <w:rPr>
          <w:b/>
          <w:sz w:val="44"/>
          <w:szCs w:val="44"/>
        </w:rPr>
      </w:pPr>
      <w:r>
        <w:rPr>
          <w:rFonts w:hint="eastAsia"/>
          <w:b/>
          <w:sz w:val="44"/>
          <w:szCs w:val="44"/>
        </w:rPr>
        <w:t>2018年10月</w:t>
      </w:r>
      <w:r>
        <w:rPr>
          <w:rFonts w:hint="eastAsia"/>
          <w:b/>
          <w:sz w:val="44"/>
          <w:szCs w:val="44"/>
          <w:lang w:val="en-US" w:eastAsia="zh-CN"/>
        </w:rPr>
        <w:t>12</w:t>
      </w:r>
      <w:r>
        <w:rPr>
          <w:rFonts w:hint="eastAsia"/>
          <w:b/>
          <w:sz w:val="44"/>
          <w:szCs w:val="44"/>
        </w:rPr>
        <w:t>日</w:t>
      </w:r>
    </w:p>
    <w:p w14:paraId="16CC9775">
      <w:pPr>
        <w:pStyle w:val="2"/>
        <w:ind w:firstLine="883" w:firstLineChars="200"/>
        <w:jc w:val="both"/>
        <w:rPr>
          <w:rFonts w:hint="eastAsia" w:ascii="仿宋_GB2312" w:hAnsi="仿宋"/>
          <w:szCs w:val="32"/>
        </w:rPr>
      </w:pPr>
      <w:r>
        <w:rPr>
          <w:rFonts w:hint="eastAsia" w:ascii="仿宋_GB2312" w:hAnsi="仿宋"/>
          <w:szCs w:val="32"/>
        </w:rPr>
        <w:t>石家庄市藁城区公安局2017年决算</w:t>
      </w:r>
    </w:p>
    <w:p w14:paraId="2B54ABB1">
      <w:pPr>
        <w:pStyle w:val="2"/>
        <w:jc w:val="center"/>
        <w:rPr>
          <w:rFonts w:hint="eastAsia"/>
        </w:rPr>
      </w:pPr>
      <w:r>
        <w:rPr>
          <w:rFonts w:hint="eastAsia" w:ascii="仿宋_GB2312" w:hAnsi="仿宋"/>
          <w:szCs w:val="32"/>
        </w:rPr>
        <w:t>公开信息</w:t>
      </w:r>
    </w:p>
    <w:p w14:paraId="5EC12A05">
      <w:pPr>
        <w:pStyle w:val="2"/>
        <w:jc w:val="center"/>
      </w:pPr>
      <w:r>
        <w:rPr>
          <w:rFonts w:hint="eastAsia"/>
        </w:rPr>
        <w:t>部门决算公开目录</w:t>
      </w:r>
    </w:p>
    <w:p w14:paraId="0F23B07F">
      <w:pPr>
        <w:rPr>
          <w:rFonts w:asciiTheme="minorEastAsia" w:hAnsiTheme="minorEastAsia"/>
          <w:b/>
          <w:sz w:val="36"/>
          <w:szCs w:val="36"/>
        </w:rPr>
      </w:pPr>
      <w:r>
        <w:rPr>
          <w:rFonts w:hint="eastAsia" w:asciiTheme="minorEastAsia" w:hAnsiTheme="minorEastAsia"/>
          <w:b/>
          <w:sz w:val="36"/>
          <w:szCs w:val="36"/>
        </w:rPr>
        <w:t>第一部分 部门概况</w:t>
      </w:r>
    </w:p>
    <w:p w14:paraId="5B5FC495">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一、主要职责</w:t>
      </w:r>
    </w:p>
    <w:p w14:paraId="2FFE5635">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二、部门预算单位构成</w:t>
      </w:r>
    </w:p>
    <w:p w14:paraId="525A390D">
      <w:pPr>
        <w:rPr>
          <w:rFonts w:asciiTheme="minorEastAsia" w:hAnsiTheme="minorEastAsia"/>
          <w:b/>
          <w:sz w:val="36"/>
          <w:szCs w:val="36"/>
        </w:rPr>
      </w:pPr>
      <w:r>
        <w:rPr>
          <w:rFonts w:hint="eastAsia" w:asciiTheme="minorEastAsia" w:hAnsiTheme="minorEastAsia"/>
          <w:b/>
          <w:sz w:val="36"/>
          <w:szCs w:val="36"/>
        </w:rPr>
        <w:t>第二部分 2017年度部门决算报表</w:t>
      </w:r>
    </w:p>
    <w:p w14:paraId="4BF7A3E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一、收入支出决算总表</w:t>
      </w:r>
    </w:p>
    <w:p w14:paraId="4D0A74DF">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二、收入决算表</w:t>
      </w:r>
    </w:p>
    <w:p w14:paraId="32C63A02">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三、支出决算表</w:t>
      </w:r>
    </w:p>
    <w:p w14:paraId="07468863">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四、财政拨款收入支出决算总表</w:t>
      </w:r>
    </w:p>
    <w:p w14:paraId="5BBB83C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五、一般公共预算财政拨款收入支出决算表</w:t>
      </w:r>
    </w:p>
    <w:p w14:paraId="77CB1FC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六、一般公共预算财政拨款基本支出决算经济分类表</w:t>
      </w:r>
    </w:p>
    <w:p w14:paraId="5E8381F6">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七、政府性基金预算财政拨款收入支出决算表</w:t>
      </w:r>
    </w:p>
    <w:p w14:paraId="3631436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八、国有资本经营预算财政拨款收入支出决算表</w:t>
      </w:r>
    </w:p>
    <w:p w14:paraId="6C935D65">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九、“三公”经费等相关信息统计表</w:t>
      </w:r>
    </w:p>
    <w:p w14:paraId="6119CA2F">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十、政府采购情况表</w:t>
      </w:r>
    </w:p>
    <w:p w14:paraId="19042195">
      <w:pPr>
        <w:rPr>
          <w:rFonts w:asciiTheme="minorEastAsia" w:hAnsiTheme="minorEastAsia"/>
          <w:b/>
          <w:sz w:val="36"/>
          <w:szCs w:val="36"/>
        </w:rPr>
      </w:pPr>
      <w:r>
        <w:rPr>
          <w:rFonts w:hint="eastAsia" w:asciiTheme="minorEastAsia" w:hAnsiTheme="minorEastAsia"/>
          <w:b/>
          <w:sz w:val="36"/>
          <w:szCs w:val="36"/>
        </w:rPr>
        <w:t>第三部分 2017年度部门决算情况说明</w:t>
      </w:r>
    </w:p>
    <w:p w14:paraId="3CDE20D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一、收入支出决算总体情况说明</w:t>
      </w:r>
    </w:p>
    <w:p w14:paraId="30951ABE">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二、收入决算情况说明</w:t>
      </w:r>
    </w:p>
    <w:p w14:paraId="5342CDD0">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三、支出决算情况说明</w:t>
      </w:r>
    </w:p>
    <w:p w14:paraId="6872ECE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四、财政拨款收入支出决算总体情况说明</w:t>
      </w:r>
    </w:p>
    <w:p w14:paraId="474F1466">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五、“三公”经费支出决算情况说明</w:t>
      </w:r>
    </w:p>
    <w:p w14:paraId="51EC6585">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六、预算绩效管理工作开展情况说明</w:t>
      </w:r>
    </w:p>
    <w:p w14:paraId="475BAAE4">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七、其他重要事项的情况说明</w:t>
      </w:r>
    </w:p>
    <w:p w14:paraId="77B3F015">
      <w:pPr>
        <w:spacing w:line="360" w:lineRule="auto"/>
        <w:ind w:firstLine="1500" w:firstLineChars="500"/>
        <w:rPr>
          <w:sz w:val="30"/>
          <w:szCs w:val="30"/>
        </w:rPr>
      </w:pPr>
      <w:r>
        <w:rPr>
          <w:rFonts w:hint="eastAsia"/>
          <w:sz w:val="30"/>
          <w:szCs w:val="30"/>
        </w:rPr>
        <w:t>1、 机关运行经费情况</w:t>
      </w:r>
    </w:p>
    <w:p w14:paraId="4FA0CA1F">
      <w:pPr>
        <w:spacing w:line="360" w:lineRule="auto"/>
        <w:ind w:firstLine="1500" w:firstLineChars="500"/>
        <w:rPr>
          <w:sz w:val="30"/>
          <w:szCs w:val="30"/>
        </w:rPr>
      </w:pPr>
      <w:r>
        <w:rPr>
          <w:rFonts w:hint="eastAsia"/>
          <w:sz w:val="30"/>
          <w:szCs w:val="30"/>
        </w:rPr>
        <w:t>2、 政府采购情况</w:t>
      </w:r>
    </w:p>
    <w:p w14:paraId="6A320ED3">
      <w:pPr>
        <w:spacing w:line="360" w:lineRule="auto"/>
        <w:ind w:firstLine="1500" w:firstLineChars="500"/>
        <w:rPr>
          <w:sz w:val="30"/>
          <w:szCs w:val="30"/>
        </w:rPr>
      </w:pPr>
      <w:r>
        <w:rPr>
          <w:rFonts w:hint="eastAsia"/>
          <w:sz w:val="30"/>
          <w:szCs w:val="30"/>
        </w:rPr>
        <w:t>3、国有资产占用情况</w:t>
      </w:r>
    </w:p>
    <w:p w14:paraId="21C95648">
      <w:pPr>
        <w:rPr>
          <w:rFonts w:asciiTheme="minorEastAsia" w:hAnsiTheme="minorEastAsia"/>
          <w:b/>
          <w:sz w:val="36"/>
          <w:szCs w:val="36"/>
        </w:rPr>
      </w:pPr>
      <w:r>
        <w:rPr>
          <w:rFonts w:hint="eastAsia" w:asciiTheme="minorEastAsia" w:hAnsiTheme="minorEastAsia"/>
          <w:b/>
          <w:sz w:val="36"/>
          <w:szCs w:val="36"/>
        </w:rPr>
        <w:t>第四部分 名词解释</w:t>
      </w:r>
    </w:p>
    <w:p w14:paraId="389B705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 财政拨款收入</w:t>
      </w:r>
    </w:p>
    <w:p w14:paraId="023AAE17">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 事业收入</w:t>
      </w:r>
    </w:p>
    <w:p w14:paraId="3AF77C8F">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 其他收入</w:t>
      </w:r>
    </w:p>
    <w:p w14:paraId="1B940DAE">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 用事业基金弥补收支差额</w:t>
      </w:r>
    </w:p>
    <w:p w14:paraId="040B451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 年初结转和结余</w:t>
      </w:r>
    </w:p>
    <w:p w14:paraId="42F3A0C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 结余分配</w:t>
      </w:r>
    </w:p>
    <w:p w14:paraId="26AAE5FB">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年末结转和结余</w:t>
      </w:r>
    </w:p>
    <w:p w14:paraId="1C10AEBA">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基本支出</w:t>
      </w:r>
    </w:p>
    <w:p w14:paraId="3AAAA46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项目支出</w:t>
      </w:r>
    </w:p>
    <w:p w14:paraId="0B06EDB2">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 基本建设支出</w:t>
      </w:r>
    </w:p>
    <w:p w14:paraId="2E431F23">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十一、 其他资本性支出</w:t>
      </w:r>
    </w:p>
    <w:p w14:paraId="07F15C3A">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十二、 “ 三公” 经费</w:t>
      </w:r>
    </w:p>
    <w:p w14:paraId="3122367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十三、 其他交通费用</w:t>
      </w:r>
    </w:p>
    <w:p w14:paraId="702F2325">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十四、 公务用车购置</w:t>
      </w:r>
    </w:p>
    <w:p w14:paraId="5C154CDE">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十五、 其他交通工具购置</w:t>
      </w:r>
    </w:p>
    <w:p w14:paraId="5E6360A3">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十六、 机关运行经费</w:t>
      </w:r>
    </w:p>
    <w:p w14:paraId="56B0AA96">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第一部分 部门概况</w:t>
      </w:r>
    </w:p>
    <w:p w14:paraId="6EAA40BA">
      <w:pPr>
        <w:adjustRightInd w:val="0"/>
        <w:snapToGrid w:val="0"/>
        <w:spacing w:line="560" w:lineRule="exact"/>
        <w:ind w:firstLine="643"/>
        <w:jc w:val="left"/>
        <w:rPr>
          <w:rFonts w:cs="仿宋" w:asciiTheme="minorEastAsia" w:hAnsiTheme="minorEastAsia"/>
          <w:b/>
          <w:sz w:val="32"/>
          <w:szCs w:val="32"/>
        </w:rPr>
      </w:pPr>
      <w:r>
        <w:rPr>
          <w:rFonts w:hint="eastAsia" w:cs="仿宋" w:asciiTheme="minorEastAsia" w:hAnsiTheme="minorEastAsia"/>
          <w:b/>
          <w:sz w:val="32"/>
          <w:szCs w:val="32"/>
        </w:rPr>
        <w:t>一、石家庄市藁城区公安局主要职责</w:t>
      </w:r>
    </w:p>
    <w:p w14:paraId="7391B342">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藁城区公安局现内设机构16个，派出机构15个、监管场所2个。内设机构为：指挥中心、政治处、纪检监察室、警务保障室、国内安全保卫大队、治安管理大队、刑事侦查大队、交通管理大队、经济犯罪侦查大队、法制大队、公共信息网络安全监察大队、出入境管理大队、巡警防爆大队、信访工作大队、环境安全保卫大队、食品药品安全保卫大队。派出机构为：城区分局、廉州派出所、兴安派出所、常安派出所、贾市庄派出所、梅华派出所、南营派出所、岗上派出所、南董派出所、九门派出所、张家庄派出所、南孟派出所、增村派出所、西关派出所、开发区治安分局。监管场所为：看守所、拘留所。</w:t>
      </w:r>
    </w:p>
    <w:p w14:paraId="2960492E">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我局主要职责：</w:t>
      </w:r>
    </w:p>
    <w:p w14:paraId="01636E68">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 xml:space="preserve">（一）预防、制止和侦查违法犯罪活动； </w:t>
      </w:r>
    </w:p>
    <w:p w14:paraId="027488C5">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 xml:space="preserve">（二）维护社会治安秩序，制止危害社会治安秩序的行为； </w:t>
      </w:r>
    </w:p>
    <w:p w14:paraId="3AA95C15">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 xml:space="preserve">（三）维护交通安全和交通秩序，处理交通事故； </w:t>
      </w:r>
    </w:p>
    <w:p w14:paraId="42D76B4A">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 xml:space="preserve">（四）组织、实施消防工作，实行消防监督； </w:t>
      </w:r>
    </w:p>
    <w:p w14:paraId="77D09B10">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 xml:space="preserve">（五）管理枪支弹药、管制刀具和易燃易爆、剧毒、放射性等危险物品； </w:t>
      </w:r>
    </w:p>
    <w:p w14:paraId="6308F969">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 xml:space="preserve">（六）对法律、法规规定的特种行业进行管理； </w:t>
      </w:r>
    </w:p>
    <w:p w14:paraId="4E888675">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 xml:space="preserve">（七）警卫国家规定的特定人员，守卫重要的场所和设施； </w:t>
      </w:r>
    </w:p>
    <w:p w14:paraId="14889945">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（八）管理集会、游行、示威活动；</w:t>
      </w:r>
    </w:p>
    <w:p w14:paraId="6815F3F6">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 xml:space="preserve">（九）管理户政、国籍、入境出境事务和外国人在中国境内居留、旅行的有关事务； </w:t>
      </w:r>
    </w:p>
    <w:p w14:paraId="3079A5E7">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 xml:space="preserve">（十）维护国（边）境地区的治安秩序； </w:t>
      </w:r>
    </w:p>
    <w:p w14:paraId="12A371D5">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 xml:space="preserve">（十一）对被判处管制、拘役、剥夺政治权利的罪犯和监外执行的罪犯执行刑罚，对被宣告缓刑、假释的罪犯实行监督、考察； </w:t>
      </w:r>
    </w:p>
    <w:p w14:paraId="3A7E7C1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 xml:space="preserve">（十二）监督管理计算机信息系统的安全保护工作； </w:t>
      </w:r>
    </w:p>
    <w:p w14:paraId="01417DA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 xml:space="preserve">（十三）指导和监督国家机关、社会团体、企业事业组织和重点建设工程的治安保卫工作，指导治安保卫委员会等群众性组织的治安防范工作； </w:t>
      </w:r>
    </w:p>
    <w:p w14:paraId="64AF6750">
      <w:pPr>
        <w:spacing w:line="360" w:lineRule="auto"/>
        <w:ind w:firstLine="960" w:firstLineChars="300"/>
        <w:jc w:val="left"/>
        <w:rPr>
          <w:rFonts w:ascii="仿宋_GB2312" w:hAnsi="宋体" w:cs="宋体"/>
          <w:color w:val="000000"/>
          <w:szCs w:val="32"/>
          <w:shd w:val="clear" w:color="auto" w:fill="FFFFFF"/>
        </w:rPr>
      </w:pPr>
      <w:r>
        <w:rPr>
          <w:rFonts w:hint="eastAsia" w:asciiTheme="minorEastAsia" w:hAnsiTheme="minorEastAsia"/>
          <w:sz w:val="32"/>
          <w:szCs w:val="32"/>
        </w:rPr>
        <w:t>（十四）法律、法规规定的其他职责</w:t>
      </w:r>
      <w:r>
        <w:rPr>
          <w:rFonts w:hint="eastAsia" w:ascii="仿宋_GB2312" w:hAnsi="仿宋_GB2312" w:eastAsia="仿宋_GB2312"/>
          <w:sz w:val="32"/>
          <w:szCs w:val="32"/>
        </w:rPr>
        <w:t>。</w:t>
      </w:r>
    </w:p>
    <w:p w14:paraId="1A569651">
      <w:pPr>
        <w:rPr>
          <w:b/>
          <w:sz w:val="36"/>
          <w:szCs w:val="36"/>
        </w:rPr>
      </w:pPr>
      <w:r>
        <w:rPr>
          <w:rFonts w:hint="eastAsia"/>
          <w:b/>
          <w:sz w:val="36"/>
          <w:szCs w:val="36"/>
        </w:rPr>
        <w:t>二、部门决算单位构成</w:t>
      </w:r>
    </w:p>
    <w:tbl>
      <w:tblPr>
        <w:tblStyle w:val="5"/>
        <w:tblW w:w="990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1"/>
        <w:gridCol w:w="3969"/>
        <w:gridCol w:w="1276"/>
        <w:gridCol w:w="992"/>
        <w:gridCol w:w="2430"/>
      </w:tblGrid>
      <w:tr w14:paraId="783FF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tblHeader/>
          <w:jc w:val="center"/>
        </w:trPr>
        <w:tc>
          <w:tcPr>
            <w:tcW w:w="1241" w:type="dxa"/>
            <w:vAlign w:val="center"/>
          </w:tcPr>
          <w:p w14:paraId="1657DCE5">
            <w:pPr>
              <w:jc w:val="center"/>
              <w:rPr>
                <w:rFonts w:ascii="仿宋_GB2312" w:hAnsi="黑体"/>
                <w:b/>
                <w:szCs w:val="32"/>
              </w:rPr>
            </w:pPr>
            <w:r>
              <w:rPr>
                <w:rFonts w:hint="eastAsia" w:ascii="仿宋_GB2312" w:hAnsi="黑体"/>
                <w:b/>
                <w:szCs w:val="32"/>
              </w:rPr>
              <w:t>单位</w:t>
            </w:r>
          </w:p>
          <w:p w14:paraId="3DF5C729">
            <w:pPr>
              <w:jc w:val="center"/>
              <w:rPr>
                <w:rFonts w:ascii="仿宋_GB2312" w:hAnsi="黑体"/>
                <w:b/>
                <w:szCs w:val="32"/>
              </w:rPr>
            </w:pPr>
            <w:r>
              <w:rPr>
                <w:rFonts w:hint="eastAsia" w:ascii="仿宋_GB2312" w:hAnsi="黑体"/>
                <w:b/>
                <w:szCs w:val="32"/>
              </w:rPr>
              <w:t>编码</w:t>
            </w:r>
          </w:p>
        </w:tc>
        <w:tc>
          <w:tcPr>
            <w:tcW w:w="3969" w:type="dxa"/>
            <w:vAlign w:val="center"/>
          </w:tcPr>
          <w:p w14:paraId="4CB95A2F">
            <w:pPr>
              <w:ind w:firstLine="361"/>
              <w:jc w:val="center"/>
              <w:rPr>
                <w:rFonts w:ascii="仿宋_GB2312" w:hAnsi="黑体"/>
                <w:b/>
                <w:szCs w:val="32"/>
              </w:rPr>
            </w:pPr>
            <w:r>
              <w:rPr>
                <w:rFonts w:hint="eastAsia" w:ascii="仿宋_GB2312" w:hAnsi="黑体"/>
                <w:b/>
                <w:szCs w:val="32"/>
              </w:rPr>
              <w:t>单位名称</w:t>
            </w:r>
          </w:p>
        </w:tc>
        <w:tc>
          <w:tcPr>
            <w:tcW w:w="1276" w:type="dxa"/>
          </w:tcPr>
          <w:p w14:paraId="1759EE19">
            <w:pPr>
              <w:jc w:val="center"/>
              <w:rPr>
                <w:rFonts w:ascii="仿宋_GB2312" w:hAnsi="黑体"/>
                <w:b/>
                <w:szCs w:val="32"/>
              </w:rPr>
            </w:pPr>
            <w:r>
              <w:rPr>
                <w:rFonts w:hint="eastAsia" w:ascii="仿宋_GB2312" w:hAnsi="黑体"/>
                <w:b/>
                <w:szCs w:val="32"/>
              </w:rPr>
              <w:t>单位</w:t>
            </w:r>
          </w:p>
          <w:p w14:paraId="006842E5">
            <w:pPr>
              <w:jc w:val="center"/>
              <w:rPr>
                <w:rFonts w:ascii="仿宋_GB2312" w:hAnsi="黑体"/>
                <w:b/>
                <w:szCs w:val="32"/>
              </w:rPr>
            </w:pPr>
            <w:r>
              <w:rPr>
                <w:rFonts w:hint="eastAsia" w:ascii="仿宋_GB2312" w:hAnsi="黑体"/>
                <w:b/>
                <w:szCs w:val="32"/>
              </w:rPr>
              <w:t>规格</w:t>
            </w:r>
          </w:p>
        </w:tc>
        <w:tc>
          <w:tcPr>
            <w:tcW w:w="992" w:type="dxa"/>
            <w:vAlign w:val="center"/>
          </w:tcPr>
          <w:p w14:paraId="16B470D1">
            <w:pPr>
              <w:jc w:val="center"/>
              <w:rPr>
                <w:rFonts w:ascii="仿宋_GB2312" w:hAnsi="黑体"/>
                <w:b/>
                <w:szCs w:val="32"/>
              </w:rPr>
            </w:pPr>
            <w:r>
              <w:rPr>
                <w:rFonts w:hint="eastAsia" w:ascii="仿宋_GB2312" w:hAnsi="黑体"/>
                <w:b/>
                <w:szCs w:val="32"/>
              </w:rPr>
              <w:t>单位性质</w:t>
            </w:r>
          </w:p>
        </w:tc>
        <w:tc>
          <w:tcPr>
            <w:tcW w:w="2430" w:type="dxa"/>
            <w:vAlign w:val="center"/>
          </w:tcPr>
          <w:p w14:paraId="1D31E333">
            <w:pPr>
              <w:ind w:firstLine="361"/>
              <w:jc w:val="center"/>
              <w:rPr>
                <w:rFonts w:ascii="仿宋_GB2312" w:hAnsi="黑体"/>
                <w:b/>
                <w:szCs w:val="32"/>
              </w:rPr>
            </w:pPr>
            <w:r>
              <w:rPr>
                <w:rFonts w:hint="eastAsia" w:ascii="仿宋_GB2312" w:hAnsi="黑体"/>
                <w:b/>
                <w:szCs w:val="32"/>
              </w:rPr>
              <w:t>财政供给</w:t>
            </w:r>
          </w:p>
          <w:p w14:paraId="4BB88737">
            <w:pPr>
              <w:ind w:firstLine="361"/>
              <w:jc w:val="center"/>
              <w:rPr>
                <w:rFonts w:ascii="仿宋_GB2312" w:hAnsi="黑体"/>
                <w:b/>
                <w:szCs w:val="32"/>
              </w:rPr>
            </w:pPr>
            <w:r>
              <w:rPr>
                <w:rFonts w:hint="eastAsia" w:ascii="仿宋_GB2312" w:hAnsi="黑体"/>
                <w:b/>
                <w:szCs w:val="32"/>
              </w:rPr>
              <w:t>政策</w:t>
            </w:r>
          </w:p>
        </w:tc>
      </w:tr>
      <w:tr w14:paraId="0D399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jc w:val="center"/>
        </w:trPr>
        <w:tc>
          <w:tcPr>
            <w:tcW w:w="1241" w:type="dxa"/>
          </w:tcPr>
          <w:p w14:paraId="19B3A503">
            <w:pPr>
              <w:jc w:val="left"/>
              <w:rPr>
                <w:rFonts w:hint="eastAsia" w:ascii="仿宋_GB2312" w:hAnsi="仿宋" w:eastAsiaTheme="minorEastAsia"/>
                <w:szCs w:val="32"/>
                <w:lang w:val="en-US" w:eastAsia="zh-CN"/>
              </w:rPr>
            </w:pPr>
            <w:r>
              <w:rPr>
                <w:rFonts w:hint="eastAsia" w:ascii="仿宋_GB2312" w:hAnsi="仿宋"/>
                <w:szCs w:val="32"/>
              </w:rPr>
              <w:t>31200</w:t>
            </w:r>
            <w:r>
              <w:rPr>
                <w:rFonts w:hint="eastAsia" w:ascii="仿宋_GB2312" w:hAnsi="仿宋"/>
                <w:szCs w:val="32"/>
                <w:lang w:val="en-US" w:eastAsia="zh-CN"/>
              </w:rPr>
              <w:t>2</w:t>
            </w:r>
          </w:p>
        </w:tc>
        <w:tc>
          <w:tcPr>
            <w:tcW w:w="3969" w:type="dxa"/>
          </w:tcPr>
          <w:p w14:paraId="2AE3BC32">
            <w:pPr>
              <w:ind w:firstLine="480"/>
              <w:jc w:val="left"/>
              <w:rPr>
                <w:rFonts w:ascii="仿宋_GB2312" w:hAnsi="仿宋"/>
                <w:szCs w:val="32"/>
              </w:rPr>
            </w:pPr>
            <w:r>
              <w:rPr>
                <w:rFonts w:hint="eastAsia" w:ascii="仿宋_GB2312" w:hAnsi="仿宋"/>
                <w:szCs w:val="32"/>
              </w:rPr>
              <w:t>石家庄市藁城区公安局</w:t>
            </w:r>
          </w:p>
        </w:tc>
        <w:tc>
          <w:tcPr>
            <w:tcW w:w="1276" w:type="dxa"/>
          </w:tcPr>
          <w:p w14:paraId="76CD63DE">
            <w:pPr>
              <w:jc w:val="center"/>
              <w:rPr>
                <w:rFonts w:ascii="仿宋_GB2312" w:hAnsi="仿宋"/>
                <w:szCs w:val="32"/>
              </w:rPr>
            </w:pPr>
            <w:r>
              <w:rPr>
                <w:rFonts w:hint="eastAsia" w:ascii="仿宋_GB2312" w:hAnsi="仿宋"/>
                <w:szCs w:val="32"/>
                <w:lang w:eastAsia="zh-CN"/>
              </w:rPr>
              <w:t>正科</w:t>
            </w:r>
            <w:r>
              <w:rPr>
                <w:rFonts w:hint="eastAsia" w:ascii="仿宋_GB2312" w:hAnsi="仿宋"/>
                <w:szCs w:val="32"/>
              </w:rPr>
              <w:t>级</w:t>
            </w:r>
          </w:p>
        </w:tc>
        <w:tc>
          <w:tcPr>
            <w:tcW w:w="992" w:type="dxa"/>
          </w:tcPr>
          <w:p w14:paraId="2D1C135A">
            <w:pPr>
              <w:jc w:val="center"/>
              <w:rPr>
                <w:rFonts w:ascii="仿宋_GB2312" w:hAnsi="仿宋"/>
                <w:szCs w:val="32"/>
              </w:rPr>
            </w:pPr>
            <w:r>
              <w:rPr>
                <w:rFonts w:hint="eastAsia" w:ascii="仿宋_GB2312" w:hAnsi="仿宋"/>
                <w:szCs w:val="32"/>
              </w:rPr>
              <w:t>行政</w:t>
            </w:r>
          </w:p>
        </w:tc>
        <w:tc>
          <w:tcPr>
            <w:tcW w:w="2430" w:type="dxa"/>
          </w:tcPr>
          <w:p w14:paraId="0B85C3FA">
            <w:pPr>
              <w:ind w:firstLine="480"/>
              <w:jc w:val="left"/>
              <w:rPr>
                <w:rFonts w:ascii="仿宋_GB2312" w:hAnsi="仿宋"/>
                <w:szCs w:val="32"/>
              </w:rPr>
            </w:pPr>
            <w:r>
              <w:rPr>
                <w:rFonts w:hint="eastAsia" w:ascii="仿宋_GB2312" w:hAnsi="仿宋"/>
                <w:szCs w:val="32"/>
              </w:rPr>
              <w:t>财政拨款</w:t>
            </w:r>
          </w:p>
        </w:tc>
      </w:tr>
      <w:tr w14:paraId="3446C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jc w:val="center"/>
        </w:trPr>
        <w:tc>
          <w:tcPr>
            <w:tcW w:w="1241" w:type="dxa"/>
          </w:tcPr>
          <w:p w14:paraId="72282685">
            <w:pPr>
              <w:jc w:val="left"/>
              <w:rPr>
                <w:rFonts w:hint="eastAsia" w:ascii="仿宋_GB2312" w:hAnsi="仿宋" w:eastAsiaTheme="minorEastAsia"/>
                <w:szCs w:val="32"/>
                <w:lang w:val="en-US" w:eastAsia="zh-CN"/>
              </w:rPr>
            </w:pPr>
            <w:r>
              <w:rPr>
                <w:rFonts w:hint="eastAsia" w:ascii="仿宋_GB2312" w:hAnsi="仿宋"/>
                <w:szCs w:val="32"/>
              </w:rPr>
              <w:t>31200</w:t>
            </w:r>
            <w:r>
              <w:rPr>
                <w:rFonts w:hint="eastAsia" w:ascii="仿宋_GB2312" w:hAnsi="仿宋"/>
                <w:szCs w:val="32"/>
                <w:lang w:val="en-US" w:eastAsia="zh-CN"/>
              </w:rPr>
              <w:t>3</w:t>
            </w:r>
          </w:p>
        </w:tc>
        <w:tc>
          <w:tcPr>
            <w:tcW w:w="3969" w:type="dxa"/>
          </w:tcPr>
          <w:p w14:paraId="29A2CD9A">
            <w:pPr>
              <w:ind w:firstLine="480"/>
              <w:jc w:val="left"/>
              <w:rPr>
                <w:rFonts w:hint="eastAsia" w:ascii="仿宋_GB2312" w:hAnsi="仿宋" w:eastAsiaTheme="minorEastAsia"/>
                <w:szCs w:val="32"/>
                <w:lang w:eastAsia="zh-CN"/>
              </w:rPr>
            </w:pPr>
            <w:r>
              <w:rPr>
                <w:rFonts w:hint="eastAsia" w:ascii="仿宋_GB2312" w:hAnsi="仿宋"/>
                <w:szCs w:val="32"/>
              </w:rPr>
              <w:t>石家庄市藁城区公安局</w:t>
            </w:r>
            <w:r>
              <w:rPr>
                <w:rFonts w:hint="eastAsia" w:ascii="仿宋_GB2312" w:hAnsi="仿宋"/>
                <w:szCs w:val="32"/>
                <w:lang w:eastAsia="zh-CN"/>
              </w:rPr>
              <w:t>看守所</w:t>
            </w:r>
          </w:p>
        </w:tc>
        <w:tc>
          <w:tcPr>
            <w:tcW w:w="1276" w:type="dxa"/>
          </w:tcPr>
          <w:p w14:paraId="42B2F9C5">
            <w:pPr>
              <w:jc w:val="center"/>
              <w:rPr>
                <w:rFonts w:ascii="仿宋_GB2312" w:hAnsi="仿宋"/>
                <w:szCs w:val="32"/>
              </w:rPr>
            </w:pPr>
            <w:r>
              <w:rPr>
                <w:rFonts w:hint="eastAsia" w:ascii="仿宋_GB2312" w:hAnsi="仿宋"/>
                <w:szCs w:val="32"/>
                <w:lang w:eastAsia="zh-CN"/>
              </w:rPr>
              <w:t>股</w:t>
            </w:r>
            <w:r>
              <w:rPr>
                <w:rFonts w:hint="eastAsia" w:ascii="仿宋_GB2312" w:hAnsi="仿宋"/>
                <w:szCs w:val="32"/>
              </w:rPr>
              <w:t>级</w:t>
            </w:r>
          </w:p>
        </w:tc>
        <w:tc>
          <w:tcPr>
            <w:tcW w:w="992" w:type="dxa"/>
          </w:tcPr>
          <w:p w14:paraId="1C227278">
            <w:pPr>
              <w:jc w:val="center"/>
              <w:rPr>
                <w:rFonts w:ascii="仿宋_GB2312" w:hAnsi="仿宋"/>
                <w:szCs w:val="32"/>
              </w:rPr>
            </w:pPr>
            <w:r>
              <w:rPr>
                <w:rFonts w:hint="eastAsia" w:ascii="仿宋_GB2312" w:hAnsi="仿宋"/>
                <w:szCs w:val="32"/>
              </w:rPr>
              <w:t>行政</w:t>
            </w:r>
          </w:p>
        </w:tc>
        <w:tc>
          <w:tcPr>
            <w:tcW w:w="2430" w:type="dxa"/>
          </w:tcPr>
          <w:p w14:paraId="4F8F9578">
            <w:pPr>
              <w:ind w:firstLine="480"/>
              <w:jc w:val="left"/>
              <w:rPr>
                <w:rFonts w:ascii="仿宋_GB2312" w:hAnsi="仿宋"/>
                <w:szCs w:val="32"/>
              </w:rPr>
            </w:pPr>
            <w:r>
              <w:rPr>
                <w:rFonts w:hint="eastAsia" w:ascii="仿宋_GB2312" w:hAnsi="仿宋"/>
                <w:szCs w:val="32"/>
              </w:rPr>
              <w:t>财政拨款</w:t>
            </w:r>
          </w:p>
        </w:tc>
      </w:tr>
      <w:tr w14:paraId="371DA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jc w:val="center"/>
        </w:trPr>
        <w:tc>
          <w:tcPr>
            <w:tcW w:w="1241" w:type="dxa"/>
          </w:tcPr>
          <w:p w14:paraId="65843386">
            <w:pPr>
              <w:jc w:val="left"/>
              <w:rPr>
                <w:rFonts w:ascii="仿宋_GB2312" w:hAnsi="仿宋"/>
                <w:szCs w:val="32"/>
              </w:rPr>
            </w:pPr>
            <w:r>
              <w:rPr>
                <w:rFonts w:hint="eastAsia" w:ascii="仿宋_GB2312" w:hAnsi="仿宋"/>
                <w:szCs w:val="32"/>
              </w:rPr>
              <w:t>312004</w:t>
            </w:r>
          </w:p>
        </w:tc>
        <w:tc>
          <w:tcPr>
            <w:tcW w:w="3969" w:type="dxa"/>
          </w:tcPr>
          <w:p w14:paraId="1E1197DB">
            <w:pPr>
              <w:ind w:firstLine="480"/>
              <w:jc w:val="center"/>
              <w:rPr>
                <w:rFonts w:ascii="仿宋_GB2312" w:hAnsi="仿宋"/>
                <w:szCs w:val="32"/>
              </w:rPr>
            </w:pPr>
            <w:r>
              <w:rPr>
                <w:rFonts w:hint="eastAsia" w:ascii="仿宋_GB2312" w:hAnsi="仿宋"/>
                <w:szCs w:val="32"/>
              </w:rPr>
              <w:t>石家庄市藁城区公安局交通管理大队</w:t>
            </w:r>
          </w:p>
        </w:tc>
        <w:tc>
          <w:tcPr>
            <w:tcW w:w="1276" w:type="dxa"/>
          </w:tcPr>
          <w:p w14:paraId="42A58305">
            <w:pPr>
              <w:jc w:val="center"/>
              <w:rPr>
                <w:rFonts w:ascii="仿宋_GB2312" w:hAnsi="仿宋"/>
                <w:szCs w:val="32"/>
              </w:rPr>
            </w:pPr>
            <w:r>
              <w:rPr>
                <w:rFonts w:hint="eastAsia" w:ascii="仿宋_GB2312" w:hAnsi="仿宋"/>
                <w:szCs w:val="32"/>
              </w:rPr>
              <w:t>股级</w:t>
            </w:r>
          </w:p>
        </w:tc>
        <w:tc>
          <w:tcPr>
            <w:tcW w:w="992" w:type="dxa"/>
          </w:tcPr>
          <w:p w14:paraId="1DBF740D">
            <w:pPr>
              <w:jc w:val="center"/>
              <w:rPr>
                <w:rFonts w:ascii="仿宋_GB2312" w:hAnsi="仿宋"/>
                <w:szCs w:val="32"/>
              </w:rPr>
            </w:pPr>
            <w:r>
              <w:rPr>
                <w:rFonts w:hint="eastAsia" w:ascii="仿宋_GB2312" w:hAnsi="仿宋"/>
                <w:szCs w:val="32"/>
              </w:rPr>
              <w:t>行政</w:t>
            </w:r>
          </w:p>
        </w:tc>
        <w:tc>
          <w:tcPr>
            <w:tcW w:w="2430" w:type="dxa"/>
          </w:tcPr>
          <w:p w14:paraId="7CA27C7C">
            <w:pPr>
              <w:ind w:firstLine="480"/>
              <w:jc w:val="left"/>
              <w:rPr>
                <w:rFonts w:ascii="仿宋_GB2312" w:hAnsi="仿宋"/>
                <w:szCs w:val="32"/>
              </w:rPr>
            </w:pPr>
            <w:r>
              <w:rPr>
                <w:rFonts w:hint="eastAsia" w:ascii="仿宋_GB2312" w:hAnsi="仿宋"/>
                <w:szCs w:val="32"/>
              </w:rPr>
              <w:t>财政拨款</w:t>
            </w:r>
          </w:p>
        </w:tc>
      </w:tr>
    </w:tbl>
    <w:p w14:paraId="4AC308BB">
      <w:pPr>
        <w:spacing w:beforeLines="100" w:afterLines="100" w:line="360" w:lineRule="auto"/>
        <w:jc w:val="center"/>
        <w:rPr>
          <w:rFonts w:hint="eastAsia" w:ascii="宋体" w:hAnsi="宋体" w:eastAsia="宋体"/>
          <w:b/>
          <w:sz w:val="44"/>
          <w:szCs w:val="44"/>
        </w:rPr>
      </w:pPr>
      <w:r>
        <w:rPr>
          <w:rFonts w:hint="eastAsia" w:ascii="宋体" w:hAnsi="宋体" w:eastAsia="宋体"/>
          <w:b/>
          <w:sz w:val="44"/>
          <w:szCs w:val="44"/>
        </w:rPr>
        <w:t>第二部分 2017年度部门决算报表</w:t>
      </w:r>
    </w:p>
    <w:p w14:paraId="798F6F33">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一、收入支出决算总表</w:t>
      </w:r>
    </w:p>
    <w:p w14:paraId="04175BF6">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二、收入决算表</w:t>
      </w:r>
    </w:p>
    <w:p w14:paraId="2ABB3B0D">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三、支出决算表</w:t>
      </w:r>
    </w:p>
    <w:p w14:paraId="7CCBC0A6">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四、财政拨款收入支出决算总表</w:t>
      </w:r>
    </w:p>
    <w:p w14:paraId="471973B4">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五、一般公共预算财政拨款收入支出决算表</w:t>
      </w:r>
    </w:p>
    <w:p w14:paraId="69DDE8D2">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六、一般公共预算财政拨款基本支出决算经济分类表</w:t>
      </w:r>
    </w:p>
    <w:p w14:paraId="31E2B54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七、 政府性基金预算财政拨款收入支出决算表</w:t>
      </w:r>
    </w:p>
    <w:p w14:paraId="4C392C6E">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八、 国有资本经营预算财政拨款收入支出决算表</w:t>
      </w:r>
    </w:p>
    <w:p w14:paraId="374BB35C">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九、 “ 三公” 经费等相关信息统计表</w:t>
      </w:r>
    </w:p>
    <w:p w14:paraId="4A9312A3">
      <w:pPr>
        <w:spacing w:line="360" w:lineRule="auto"/>
        <w:ind w:firstLine="960" w:firstLineChars="300"/>
        <w:jc w:val="left"/>
        <w:rPr>
          <w:rFonts w:hint="eastAsia" w:asciiTheme="minorEastAsia" w:hAnsiTheme="minorEastAsia"/>
          <w:sz w:val="32"/>
          <w:szCs w:val="32"/>
        </w:rPr>
      </w:pPr>
      <w:r>
        <w:rPr>
          <w:rFonts w:hint="eastAsia" w:asciiTheme="minorEastAsia" w:hAnsiTheme="minorEastAsia"/>
          <w:sz w:val="32"/>
          <w:szCs w:val="32"/>
        </w:rPr>
        <w:t>十、政府采购情况表</w:t>
      </w:r>
    </w:p>
    <w:p w14:paraId="3C54AFB4">
      <w:pPr>
        <w:spacing w:line="360" w:lineRule="auto"/>
        <w:ind w:firstLine="960" w:firstLineChars="300"/>
        <w:jc w:val="left"/>
        <w:rPr>
          <w:rFonts w:asciiTheme="minorEastAsia" w:hAnsiTheme="minorEastAsia"/>
          <w:sz w:val="32"/>
          <w:szCs w:val="32"/>
        </w:rPr>
      </w:pPr>
      <w:r>
        <w:rPr>
          <w:rFonts w:hint="eastAsia" w:asciiTheme="minorEastAsia" w:hAnsiTheme="minorEastAsia"/>
          <w:sz w:val="32"/>
          <w:szCs w:val="32"/>
        </w:rPr>
        <w:t>（详见附表）</w:t>
      </w:r>
    </w:p>
    <w:p w14:paraId="38598E23">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第三部分 2017年度部门决算情况说明</w:t>
      </w:r>
    </w:p>
    <w:p w14:paraId="500E95D3">
      <w:pPr>
        <w:rPr>
          <w:b/>
          <w:sz w:val="36"/>
          <w:szCs w:val="36"/>
        </w:rPr>
      </w:pPr>
      <w:r>
        <w:rPr>
          <w:rFonts w:hint="eastAsia"/>
          <w:b/>
          <w:sz w:val="36"/>
          <w:szCs w:val="36"/>
        </w:rPr>
        <w:t>一、收入支出决算总体情况说明</w:t>
      </w:r>
    </w:p>
    <w:p w14:paraId="3337F656">
      <w:pPr>
        <w:ind w:firstLine="640" w:firstLineChars="200"/>
        <w:rPr>
          <w:rFonts w:asciiTheme="minorEastAsia" w:hAnsiTheme="minorEastAsia"/>
          <w:sz w:val="32"/>
          <w:szCs w:val="32"/>
        </w:rPr>
      </w:pPr>
      <w:r>
        <w:rPr>
          <w:rFonts w:hint="eastAsia" w:asciiTheme="minorEastAsia" w:hAnsiTheme="minorEastAsia"/>
          <w:sz w:val="32"/>
          <w:szCs w:val="32"/>
        </w:rPr>
        <w:t>2017年度年初结转和结余467.49万元，本年收入11897.93万元，本年支出11512.51万元，年末结转和结余852.91万元。与2016年度收入11974.29万元相比，本年收入减少76.36万元，减少1%；2016年支出11065.62万元，本年支出11974.29万元与2016年支出减少446.89万元，减少4%。收支基本与上年持平。</w:t>
      </w:r>
    </w:p>
    <w:p w14:paraId="098EF27E">
      <w:pPr>
        <w:rPr>
          <w:b/>
          <w:sz w:val="36"/>
          <w:szCs w:val="36"/>
        </w:rPr>
      </w:pPr>
      <w:r>
        <w:rPr>
          <w:rFonts w:hint="eastAsia"/>
          <w:b/>
          <w:sz w:val="36"/>
          <w:szCs w:val="36"/>
        </w:rPr>
        <w:t>二、收入决算情况说明</w:t>
      </w:r>
    </w:p>
    <w:p w14:paraId="4C826440">
      <w:pPr>
        <w:ind w:firstLine="640" w:firstLineChars="200"/>
        <w:rPr>
          <w:rFonts w:hint="eastAsia" w:asciiTheme="minorEastAsia" w:hAnsiTheme="minorEastAsia"/>
          <w:sz w:val="32"/>
          <w:szCs w:val="32"/>
        </w:rPr>
      </w:pPr>
      <w:r>
        <w:rPr>
          <w:rFonts w:hint="eastAsia" w:asciiTheme="minorEastAsia" w:hAnsiTheme="minorEastAsia"/>
          <w:sz w:val="32"/>
          <w:szCs w:val="32"/>
        </w:rPr>
        <w:t>2017年度收入合计11897.93万元，</w:t>
      </w:r>
      <w:r>
        <w:rPr>
          <w:rFonts w:hint="eastAsia" w:asciiTheme="minorEastAsia" w:hAnsiTheme="minorEastAsia"/>
          <w:sz w:val="32"/>
          <w:szCs w:val="32"/>
          <w:lang w:eastAsia="zh-CN"/>
        </w:rPr>
        <w:t>其中</w:t>
      </w:r>
      <w:r>
        <w:rPr>
          <w:rFonts w:hint="eastAsia" w:asciiTheme="minorEastAsia" w:hAnsiTheme="minorEastAsia"/>
          <w:sz w:val="32"/>
          <w:szCs w:val="32"/>
        </w:rPr>
        <w:t>财政拨款收入</w:t>
      </w:r>
      <w:r>
        <w:rPr>
          <w:rFonts w:hint="eastAsia" w:asciiTheme="minorEastAsia" w:hAnsiTheme="minorEastAsia"/>
          <w:sz w:val="32"/>
          <w:szCs w:val="32"/>
          <w:lang w:val="en-US" w:eastAsia="zh-CN"/>
        </w:rPr>
        <w:t>11897.93，占100%。</w:t>
      </w:r>
      <w:r>
        <w:rPr>
          <w:rFonts w:hint="eastAsia" w:asciiTheme="minorEastAsia" w:hAnsiTheme="minorEastAsia"/>
          <w:sz w:val="32"/>
          <w:szCs w:val="32"/>
        </w:rPr>
        <w:t>与2016年度财政拨款收入11974.29万元相比，收入减少 76.36万元，基本持平。</w:t>
      </w:r>
    </w:p>
    <w:p w14:paraId="4395129C">
      <w:pPr>
        <w:ind w:firstLine="420" w:firstLineChars="200"/>
        <w:rPr>
          <w:rFonts w:hint="eastAsia" w:asciiTheme="minorEastAsia" w:hAnsiTheme="minorEastAsia"/>
          <w:sz w:val="32"/>
          <w:szCs w:val="32"/>
        </w:rPr>
      </w:pPr>
      <w:r>
        <w:drawing>
          <wp:inline distT="0" distB="0" distL="114300" distR="114300">
            <wp:extent cx="2306320" cy="1345565"/>
            <wp:effectExtent l="4445" t="4445" r="13335" b="21590"/>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14:paraId="10BE4961">
      <w:pPr>
        <w:rPr>
          <w:b/>
          <w:sz w:val="36"/>
          <w:szCs w:val="36"/>
        </w:rPr>
      </w:pPr>
      <w:r>
        <w:rPr>
          <w:rFonts w:hint="eastAsia"/>
          <w:b/>
          <w:sz w:val="36"/>
          <w:szCs w:val="36"/>
        </w:rPr>
        <w:t>三、支出决算情况说明</w:t>
      </w:r>
    </w:p>
    <w:p w14:paraId="47E44CE0">
      <w:pPr>
        <w:ind w:firstLine="640" w:firstLineChars="200"/>
        <w:rPr>
          <w:rFonts w:hint="eastAsia" w:asciiTheme="minorEastAsia" w:hAnsiTheme="minorEastAsia"/>
          <w:sz w:val="32"/>
          <w:szCs w:val="32"/>
        </w:rPr>
      </w:pPr>
      <w:r>
        <w:rPr>
          <w:rFonts w:hint="eastAsia" w:asciiTheme="minorEastAsia" w:hAnsiTheme="minorEastAsia"/>
          <w:sz w:val="32"/>
          <w:szCs w:val="32"/>
        </w:rPr>
        <w:t>2017年度支出合计11512.51万元，其中：基本支出6853.26万元，占59.5%；项目支出4659.25万元，占40.5%；与2016年度相比，支出减少446.89万元，其中基本支出减少1812.99万元，项目支出增加2259.88万元。</w:t>
      </w:r>
    </w:p>
    <w:p w14:paraId="4468EE8B">
      <w:pPr>
        <w:ind w:firstLine="420" w:firstLineChars="200"/>
        <w:rPr>
          <w:rFonts w:hint="eastAsia" w:asciiTheme="minorEastAsia" w:hAnsiTheme="minorEastAsia"/>
          <w:sz w:val="32"/>
          <w:szCs w:val="32"/>
        </w:rPr>
      </w:pPr>
      <w:r>
        <w:drawing>
          <wp:inline distT="0" distB="0" distL="114300" distR="114300">
            <wp:extent cx="3420110" cy="2219960"/>
            <wp:effectExtent l="4445" t="4445" r="23495" b="23495"/>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01950172">
      <w:pPr>
        <w:rPr>
          <w:b/>
          <w:sz w:val="36"/>
          <w:szCs w:val="36"/>
        </w:rPr>
      </w:pPr>
      <w:r>
        <w:rPr>
          <w:rFonts w:hint="eastAsia"/>
          <w:b/>
          <w:sz w:val="36"/>
          <w:szCs w:val="36"/>
        </w:rPr>
        <w:t>四、 财政拨款收入支出决算总体情况说明</w:t>
      </w:r>
    </w:p>
    <w:p w14:paraId="7E7EFB90">
      <w:pPr>
        <w:rPr>
          <w:b/>
          <w:sz w:val="32"/>
          <w:szCs w:val="32"/>
        </w:rPr>
      </w:pPr>
      <w:r>
        <w:rPr>
          <w:rFonts w:hint="eastAsia"/>
          <w:b/>
          <w:sz w:val="32"/>
          <w:szCs w:val="32"/>
        </w:rPr>
        <w:t>（一）财政拨款收支与2016年度决算对比情况</w:t>
      </w:r>
    </w:p>
    <w:p w14:paraId="57CECC98">
      <w:pPr>
        <w:ind w:firstLine="640" w:firstLineChars="200"/>
        <w:rPr>
          <w:rFonts w:asciiTheme="minorEastAsia" w:hAnsiTheme="minorEastAsia"/>
          <w:sz w:val="32"/>
          <w:szCs w:val="32"/>
        </w:rPr>
      </w:pPr>
      <w:r>
        <w:rPr>
          <w:rFonts w:hint="eastAsia" w:asciiTheme="minorEastAsia" w:hAnsiTheme="minorEastAsia"/>
          <w:sz w:val="32"/>
          <w:szCs w:val="32"/>
        </w:rPr>
        <w:t>2017年度财政拨款收入11897.93万元，其中：一般公共预算拨款 11528.88万元，政府性基金预算财政拨款 369.05万元。与 2016 年度决算相比，财政拨款收入减少 76.36万元，其中：一般公共预算拨款收入增加88.79万元，政府性基金预算财政拨款减少165.15万元。</w:t>
      </w:r>
    </w:p>
    <w:p w14:paraId="331B0B40">
      <w:pPr>
        <w:ind w:firstLine="640" w:firstLineChars="200"/>
        <w:rPr>
          <w:rFonts w:asciiTheme="minorEastAsia" w:hAnsiTheme="minorEastAsia"/>
          <w:sz w:val="32"/>
          <w:szCs w:val="32"/>
        </w:rPr>
      </w:pPr>
      <w:r>
        <w:rPr>
          <w:rFonts w:hint="eastAsia" w:asciiTheme="minorEastAsia" w:hAnsiTheme="minorEastAsia"/>
          <w:sz w:val="32"/>
          <w:szCs w:val="32"/>
        </w:rPr>
        <w:t>2017年度财政拨款支出 11512.51 万元， 其中： 一般公共预算拨款支出11308.61万元，政府性基金预算财政拨款支出203.90万元。与2016年度决算相比，财政拨款支出减少446.89万元， 其中：一般公共预算拨款支出减少417.27万元，政府性基金预算财政拨款支出减少29.62万元。</w:t>
      </w:r>
    </w:p>
    <w:p w14:paraId="53285873">
      <w:pPr>
        <w:ind w:firstLine="640" w:firstLineChars="200"/>
        <w:rPr>
          <w:rFonts w:asciiTheme="minorEastAsia" w:hAnsiTheme="minorEastAsia"/>
          <w:sz w:val="32"/>
          <w:szCs w:val="32"/>
        </w:rPr>
      </w:pPr>
      <w:r>
        <w:rPr>
          <w:rFonts w:hint="eastAsia" w:asciiTheme="minorEastAsia" w:hAnsiTheme="minorEastAsia"/>
          <w:sz w:val="32"/>
          <w:szCs w:val="32"/>
        </w:rPr>
        <w:t>2017年度财政拨款收入与2016年相比基本持平，2017年财政拨款支出比2016年略微减少，主要原因是减少了动态自适应绿波带智能信号灯控制系统及后端联网管控平台采购项目。</w:t>
      </w:r>
    </w:p>
    <w:p w14:paraId="552EE3C1">
      <w:pPr>
        <w:rPr>
          <w:b/>
          <w:sz w:val="32"/>
          <w:szCs w:val="32"/>
        </w:rPr>
      </w:pPr>
      <w:r>
        <w:rPr>
          <w:rFonts w:hint="eastAsia"/>
          <w:b/>
          <w:sz w:val="32"/>
          <w:szCs w:val="32"/>
        </w:rPr>
        <w:t>（二）财政拨款收支与年初预算数对比情况</w:t>
      </w:r>
    </w:p>
    <w:p w14:paraId="7DB837F6">
      <w:pPr>
        <w:ind w:firstLine="640" w:firstLineChars="200"/>
        <w:rPr>
          <w:rFonts w:asciiTheme="minorEastAsia" w:hAnsiTheme="minorEastAsia"/>
          <w:sz w:val="32"/>
          <w:szCs w:val="32"/>
        </w:rPr>
      </w:pPr>
      <w:r>
        <w:rPr>
          <w:rFonts w:hint="eastAsia" w:asciiTheme="minorEastAsia" w:hAnsiTheme="minorEastAsia"/>
          <w:sz w:val="32"/>
          <w:szCs w:val="32"/>
        </w:rPr>
        <w:t>2017 年度，年初预算批复财政拨款收支10816.32万元，其中：一般公共预算拨款10696.32万元， 政府性基金预算财政拨款收支120万元。与年初预算相比，财政拨款收入增加1081.61万元，增加10%，其中：一般公共预算拨款增加832.56万元，政府性基金预算财政拨款增加249.05万元。增加207.55%，财政拨款支出增加了696.19万元，增加6.44%，其中：一般公共预算拨款增加612.29万元，政府性基金预算财政拨款增加了83.90万元。2017年度财政拨款收支比年初预算增加的主要原因是，决算中不包含年初预算安排的对下转移支付项目资金467.49万元。</w:t>
      </w:r>
    </w:p>
    <w:p w14:paraId="70793754">
      <w:pPr>
        <w:rPr>
          <w:b/>
          <w:sz w:val="36"/>
          <w:szCs w:val="36"/>
        </w:rPr>
      </w:pPr>
      <w:r>
        <w:rPr>
          <w:rFonts w:hint="eastAsia"/>
          <w:b/>
          <w:sz w:val="36"/>
          <w:szCs w:val="36"/>
        </w:rPr>
        <w:t>五、 “ 三公” 经费支出决算情况说明</w:t>
      </w:r>
    </w:p>
    <w:p w14:paraId="1CE00F71">
      <w:pPr>
        <w:ind w:firstLine="640" w:firstLineChars="200"/>
        <w:rPr>
          <w:rFonts w:asciiTheme="minorEastAsia" w:hAnsiTheme="minorEastAsia"/>
          <w:sz w:val="32"/>
          <w:szCs w:val="32"/>
        </w:rPr>
      </w:pPr>
      <w:r>
        <w:rPr>
          <w:rFonts w:hint="eastAsia" w:asciiTheme="minorEastAsia" w:hAnsiTheme="minorEastAsia"/>
          <w:sz w:val="32"/>
          <w:szCs w:val="32"/>
        </w:rPr>
        <w:t>2017年度，我局认真落实中央八项规定</w:t>
      </w:r>
      <w:bookmarkStart w:id="0" w:name="_GoBack"/>
      <w:bookmarkEnd w:id="0"/>
      <w:r>
        <w:rPr>
          <w:rFonts w:hint="eastAsia" w:asciiTheme="minorEastAsia" w:hAnsiTheme="minorEastAsia"/>
          <w:sz w:val="32"/>
          <w:szCs w:val="32"/>
        </w:rPr>
        <w:t>精神和厉行节约要求，管理制度不断完善，“三公”经费支出得到有效控制。全年“三公”经费支出共计269.88万元，与2016年度比，因为“创城”工作需要，加大执勤、巡逻力度，总支出增加41.14万元，增加17.99%； 与年初预算相比，总支出减少16.69万元，减少5.83%。</w:t>
      </w:r>
    </w:p>
    <w:p w14:paraId="095AFDEC">
      <w:pPr>
        <w:ind w:firstLine="640" w:firstLineChars="200"/>
        <w:rPr>
          <w:rFonts w:asciiTheme="minorEastAsia" w:hAnsiTheme="minorEastAsia"/>
          <w:sz w:val="32"/>
          <w:szCs w:val="32"/>
        </w:rPr>
      </w:pPr>
      <w:r>
        <w:rPr>
          <w:rFonts w:hint="eastAsia" w:asciiTheme="minorEastAsia" w:hAnsiTheme="minorEastAsia"/>
          <w:sz w:val="32"/>
          <w:szCs w:val="32"/>
        </w:rPr>
        <w:t>现将一般公共预算财政拨款“ 三公” 经费支出决算情况说明如下：</w:t>
      </w:r>
    </w:p>
    <w:p w14:paraId="02A2D0C7">
      <w:pPr>
        <w:ind w:firstLine="640" w:firstLineChars="200"/>
        <w:rPr>
          <w:rFonts w:asciiTheme="minorEastAsia" w:hAnsiTheme="minorEastAsia"/>
          <w:sz w:val="32"/>
          <w:szCs w:val="32"/>
        </w:rPr>
      </w:pPr>
      <w:r>
        <w:rPr>
          <w:rFonts w:hint="eastAsia" w:asciiTheme="minorEastAsia" w:hAnsiTheme="minorEastAsia"/>
          <w:sz w:val="32"/>
          <w:szCs w:val="32"/>
        </w:rPr>
        <w:t>2017年度，一般公共预算财政拨款“ 三公” 经费支出共计269.88万元，与2016年度对比，总支出增加41.14万元。</w:t>
      </w:r>
    </w:p>
    <w:p w14:paraId="5B318B6F">
      <w:pPr>
        <w:ind w:firstLine="315" w:firstLineChars="98"/>
        <w:rPr>
          <w:b/>
          <w:sz w:val="32"/>
          <w:szCs w:val="32"/>
        </w:rPr>
      </w:pPr>
      <w:r>
        <w:rPr>
          <w:rFonts w:hint="eastAsia"/>
          <w:b/>
          <w:sz w:val="32"/>
          <w:szCs w:val="32"/>
        </w:rPr>
        <w:t>“三公”经费支出2016年度、2017年度对比明细表</w:t>
      </w:r>
    </w:p>
    <w:p w14:paraId="488810C4">
      <w:pPr>
        <w:jc w:val="right"/>
        <w:rPr>
          <w:rFonts w:asciiTheme="minorEastAsia" w:hAnsiTheme="minorEastAsia"/>
          <w:sz w:val="28"/>
          <w:szCs w:val="28"/>
        </w:rPr>
      </w:pPr>
      <w:r>
        <w:rPr>
          <w:rFonts w:hint="eastAsia" w:asciiTheme="minorEastAsia" w:hAnsiTheme="minorEastAsia"/>
          <w:sz w:val="28"/>
          <w:szCs w:val="28"/>
        </w:rPr>
        <w:t>单位：万元</w:t>
      </w:r>
    </w:p>
    <w:tbl>
      <w:tblPr>
        <w:tblStyle w:val="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2130"/>
        <w:gridCol w:w="2131"/>
      </w:tblGrid>
      <w:tr w14:paraId="311C9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0BEBBCA6">
            <w:pPr>
              <w:jc w:val="center"/>
              <w:rPr>
                <w:rFonts w:asciiTheme="minorEastAsia" w:hAnsiTheme="minorEastAsia"/>
                <w:sz w:val="24"/>
                <w:szCs w:val="24"/>
              </w:rPr>
            </w:pPr>
            <w:r>
              <w:rPr>
                <w:rFonts w:hint="eastAsia" w:asciiTheme="minorEastAsia" w:hAnsiTheme="minorEastAsia"/>
                <w:sz w:val="24"/>
                <w:szCs w:val="24"/>
              </w:rPr>
              <w:t>“ 三公” 经费</w:t>
            </w:r>
          </w:p>
        </w:tc>
        <w:tc>
          <w:tcPr>
            <w:tcW w:w="2131" w:type="dxa"/>
            <w:vAlign w:val="center"/>
          </w:tcPr>
          <w:p w14:paraId="7EC0D2D1">
            <w:pPr>
              <w:jc w:val="center"/>
              <w:rPr>
                <w:rFonts w:asciiTheme="minorEastAsia" w:hAnsiTheme="minorEastAsia"/>
                <w:b/>
                <w:sz w:val="24"/>
                <w:szCs w:val="24"/>
              </w:rPr>
            </w:pPr>
            <w:r>
              <w:rPr>
                <w:rFonts w:hint="eastAsia" w:asciiTheme="minorEastAsia" w:hAnsiTheme="minorEastAsia"/>
                <w:sz w:val="24"/>
                <w:szCs w:val="24"/>
              </w:rPr>
              <w:t>2016年支出</w:t>
            </w:r>
          </w:p>
        </w:tc>
        <w:tc>
          <w:tcPr>
            <w:tcW w:w="2130" w:type="dxa"/>
            <w:vAlign w:val="center"/>
          </w:tcPr>
          <w:p w14:paraId="169ED2B7">
            <w:pPr>
              <w:jc w:val="center"/>
              <w:rPr>
                <w:rFonts w:asciiTheme="minorEastAsia" w:hAnsiTheme="minorEastAsia"/>
                <w:b/>
                <w:sz w:val="24"/>
                <w:szCs w:val="24"/>
              </w:rPr>
            </w:pPr>
            <w:r>
              <w:rPr>
                <w:rFonts w:hint="eastAsia" w:asciiTheme="minorEastAsia" w:hAnsiTheme="minorEastAsia"/>
                <w:sz w:val="24"/>
                <w:szCs w:val="24"/>
              </w:rPr>
              <w:t>2017年支出</w:t>
            </w:r>
          </w:p>
        </w:tc>
        <w:tc>
          <w:tcPr>
            <w:tcW w:w="2131" w:type="dxa"/>
            <w:vAlign w:val="center"/>
          </w:tcPr>
          <w:p w14:paraId="6B45C42E">
            <w:pPr>
              <w:jc w:val="center"/>
              <w:rPr>
                <w:rFonts w:asciiTheme="minorEastAsia" w:hAnsiTheme="minorEastAsia"/>
                <w:sz w:val="24"/>
                <w:szCs w:val="24"/>
              </w:rPr>
            </w:pPr>
            <w:r>
              <w:rPr>
                <w:rFonts w:hint="eastAsia" w:asciiTheme="minorEastAsia" w:hAnsiTheme="minorEastAsia"/>
                <w:sz w:val="24"/>
                <w:szCs w:val="24"/>
              </w:rPr>
              <w:t>2017年与2016年对比</w:t>
            </w:r>
          </w:p>
        </w:tc>
      </w:tr>
      <w:tr w14:paraId="23D9B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4003792E">
            <w:pPr>
              <w:jc w:val="center"/>
              <w:rPr>
                <w:rFonts w:asciiTheme="minorEastAsia" w:hAnsiTheme="minorEastAsia"/>
                <w:sz w:val="24"/>
                <w:szCs w:val="24"/>
              </w:rPr>
            </w:pPr>
            <w:r>
              <w:rPr>
                <w:rFonts w:hint="eastAsia" w:asciiTheme="minorEastAsia" w:hAnsiTheme="minorEastAsia"/>
                <w:sz w:val="24"/>
                <w:szCs w:val="24"/>
              </w:rPr>
              <w:t>因公出国（境）支出</w:t>
            </w:r>
          </w:p>
        </w:tc>
        <w:tc>
          <w:tcPr>
            <w:tcW w:w="2131" w:type="dxa"/>
            <w:vAlign w:val="center"/>
          </w:tcPr>
          <w:p w14:paraId="602DB28C">
            <w:pPr>
              <w:jc w:val="center"/>
              <w:rPr>
                <w:rFonts w:asciiTheme="minorEastAsia" w:hAnsiTheme="minorEastAsia"/>
                <w:sz w:val="24"/>
                <w:szCs w:val="24"/>
              </w:rPr>
            </w:pPr>
            <w:r>
              <w:rPr>
                <w:rFonts w:hint="eastAsia" w:asciiTheme="minorEastAsia" w:hAnsiTheme="minorEastAsia"/>
                <w:sz w:val="24"/>
                <w:szCs w:val="24"/>
              </w:rPr>
              <w:t>0</w:t>
            </w:r>
          </w:p>
        </w:tc>
        <w:tc>
          <w:tcPr>
            <w:tcW w:w="2130" w:type="dxa"/>
            <w:vAlign w:val="center"/>
          </w:tcPr>
          <w:p w14:paraId="4CDEF599">
            <w:pPr>
              <w:jc w:val="center"/>
              <w:rPr>
                <w:rFonts w:asciiTheme="minorEastAsia" w:hAnsiTheme="minorEastAsia"/>
                <w:sz w:val="24"/>
                <w:szCs w:val="24"/>
              </w:rPr>
            </w:pPr>
            <w:r>
              <w:rPr>
                <w:rFonts w:hint="eastAsia" w:asciiTheme="minorEastAsia" w:hAnsiTheme="minorEastAsia"/>
                <w:sz w:val="24"/>
                <w:szCs w:val="24"/>
              </w:rPr>
              <w:t>0</w:t>
            </w:r>
          </w:p>
        </w:tc>
        <w:tc>
          <w:tcPr>
            <w:tcW w:w="2131" w:type="dxa"/>
            <w:vAlign w:val="center"/>
          </w:tcPr>
          <w:p w14:paraId="785916A8">
            <w:pPr>
              <w:jc w:val="center"/>
              <w:rPr>
                <w:rFonts w:asciiTheme="minorEastAsia" w:hAnsiTheme="minorEastAsia"/>
                <w:sz w:val="24"/>
                <w:szCs w:val="24"/>
              </w:rPr>
            </w:pPr>
            <w:r>
              <w:rPr>
                <w:rFonts w:hint="eastAsia" w:asciiTheme="minorEastAsia" w:hAnsiTheme="minorEastAsia"/>
                <w:sz w:val="24"/>
                <w:szCs w:val="24"/>
              </w:rPr>
              <w:t>0</w:t>
            </w:r>
          </w:p>
        </w:tc>
      </w:tr>
      <w:tr w14:paraId="587FD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76D9DD60">
            <w:pPr>
              <w:jc w:val="center"/>
              <w:rPr>
                <w:rFonts w:asciiTheme="minorEastAsia" w:hAnsiTheme="minorEastAsia"/>
                <w:sz w:val="24"/>
                <w:szCs w:val="24"/>
              </w:rPr>
            </w:pPr>
            <w:r>
              <w:rPr>
                <w:rFonts w:hint="eastAsia" w:asciiTheme="minorEastAsia" w:hAnsiTheme="minorEastAsia"/>
                <w:sz w:val="24"/>
                <w:szCs w:val="24"/>
              </w:rPr>
              <w:t>公务用车运行维护费</w:t>
            </w:r>
          </w:p>
        </w:tc>
        <w:tc>
          <w:tcPr>
            <w:tcW w:w="2131" w:type="dxa"/>
            <w:vAlign w:val="center"/>
          </w:tcPr>
          <w:p w14:paraId="6FB63D3E">
            <w:pPr>
              <w:jc w:val="center"/>
              <w:rPr>
                <w:rFonts w:asciiTheme="minorEastAsia" w:hAnsiTheme="minorEastAsia"/>
                <w:sz w:val="24"/>
                <w:szCs w:val="24"/>
              </w:rPr>
            </w:pPr>
            <w:r>
              <w:rPr>
                <w:rFonts w:hint="eastAsia" w:asciiTheme="minorEastAsia" w:hAnsiTheme="minorEastAsia"/>
                <w:sz w:val="24"/>
                <w:szCs w:val="24"/>
              </w:rPr>
              <w:t>228.74</w:t>
            </w:r>
          </w:p>
        </w:tc>
        <w:tc>
          <w:tcPr>
            <w:tcW w:w="2130" w:type="dxa"/>
            <w:vAlign w:val="center"/>
          </w:tcPr>
          <w:p w14:paraId="7F55080A">
            <w:pPr>
              <w:jc w:val="center"/>
              <w:rPr>
                <w:rFonts w:asciiTheme="minorEastAsia" w:hAnsiTheme="minorEastAsia"/>
                <w:sz w:val="24"/>
                <w:szCs w:val="24"/>
              </w:rPr>
            </w:pPr>
            <w:r>
              <w:rPr>
                <w:rFonts w:hint="eastAsia" w:asciiTheme="minorEastAsia" w:hAnsiTheme="minorEastAsia"/>
                <w:sz w:val="24"/>
                <w:szCs w:val="24"/>
              </w:rPr>
              <w:t>269.88</w:t>
            </w:r>
          </w:p>
        </w:tc>
        <w:tc>
          <w:tcPr>
            <w:tcW w:w="2131" w:type="dxa"/>
            <w:vAlign w:val="center"/>
          </w:tcPr>
          <w:p w14:paraId="67C6274A">
            <w:pPr>
              <w:jc w:val="center"/>
              <w:rPr>
                <w:rFonts w:asciiTheme="minorEastAsia" w:hAnsiTheme="minorEastAsia"/>
                <w:sz w:val="24"/>
                <w:szCs w:val="24"/>
              </w:rPr>
            </w:pPr>
            <w:r>
              <w:rPr>
                <w:rFonts w:hint="eastAsia" w:asciiTheme="minorEastAsia" w:hAnsiTheme="minorEastAsia"/>
                <w:sz w:val="24"/>
                <w:szCs w:val="24"/>
              </w:rPr>
              <w:t>41.14</w:t>
            </w:r>
          </w:p>
        </w:tc>
      </w:tr>
      <w:tr w14:paraId="394E1B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44AB1BB9">
            <w:pPr>
              <w:jc w:val="center"/>
              <w:rPr>
                <w:rFonts w:asciiTheme="minorEastAsia" w:hAnsiTheme="minorEastAsia"/>
                <w:sz w:val="24"/>
                <w:szCs w:val="24"/>
              </w:rPr>
            </w:pPr>
            <w:r>
              <w:rPr>
                <w:rFonts w:hint="eastAsia" w:asciiTheme="minorEastAsia" w:hAnsiTheme="minorEastAsia"/>
                <w:sz w:val="24"/>
                <w:szCs w:val="24"/>
              </w:rPr>
              <w:t>公务接待费</w:t>
            </w:r>
          </w:p>
        </w:tc>
        <w:tc>
          <w:tcPr>
            <w:tcW w:w="2131" w:type="dxa"/>
            <w:vAlign w:val="center"/>
          </w:tcPr>
          <w:p w14:paraId="6E254356">
            <w:pPr>
              <w:jc w:val="center"/>
              <w:rPr>
                <w:rFonts w:asciiTheme="minorEastAsia" w:hAnsiTheme="minorEastAsia"/>
                <w:sz w:val="24"/>
                <w:szCs w:val="24"/>
              </w:rPr>
            </w:pPr>
            <w:r>
              <w:rPr>
                <w:rFonts w:hint="eastAsia" w:asciiTheme="minorEastAsia" w:hAnsiTheme="minorEastAsia"/>
                <w:sz w:val="24"/>
                <w:szCs w:val="24"/>
              </w:rPr>
              <w:t>0</w:t>
            </w:r>
          </w:p>
        </w:tc>
        <w:tc>
          <w:tcPr>
            <w:tcW w:w="2130" w:type="dxa"/>
            <w:vAlign w:val="center"/>
          </w:tcPr>
          <w:p w14:paraId="0976DFAA">
            <w:pPr>
              <w:jc w:val="center"/>
              <w:rPr>
                <w:rFonts w:asciiTheme="minorEastAsia" w:hAnsiTheme="minorEastAsia"/>
                <w:sz w:val="24"/>
                <w:szCs w:val="24"/>
              </w:rPr>
            </w:pPr>
            <w:r>
              <w:rPr>
                <w:rFonts w:hint="eastAsia" w:asciiTheme="minorEastAsia" w:hAnsiTheme="minorEastAsia"/>
                <w:sz w:val="24"/>
                <w:szCs w:val="24"/>
              </w:rPr>
              <w:t>0</w:t>
            </w:r>
          </w:p>
        </w:tc>
        <w:tc>
          <w:tcPr>
            <w:tcW w:w="2131" w:type="dxa"/>
            <w:vAlign w:val="center"/>
          </w:tcPr>
          <w:p w14:paraId="7A015EA6">
            <w:pPr>
              <w:jc w:val="center"/>
              <w:rPr>
                <w:rFonts w:asciiTheme="minorEastAsia" w:hAnsiTheme="minorEastAsia"/>
                <w:sz w:val="24"/>
                <w:szCs w:val="24"/>
              </w:rPr>
            </w:pPr>
            <w:r>
              <w:rPr>
                <w:rFonts w:hint="eastAsia" w:asciiTheme="minorEastAsia" w:hAnsiTheme="minorEastAsia"/>
                <w:sz w:val="24"/>
                <w:szCs w:val="24"/>
              </w:rPr>
              <w:t>0</w:t>
            </w:r>
          </w:p>
        </w:tc>
      </w:tr>
      <w:tr w14:paraId="776E6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01090A97">
            <w:pPr>
              <w:jc w:val="center"/>
              <w:rPr>
                <w:rFonts w:asciiTheme="minorEastAsia" w:hAnsiTheme="minorEastAsia"/>
                <w:sz w:val="24"/>
                <w:szCs w:val="24"/>
              </w:rPr>
            </w:pPr>
            <w:r>
              <w:rPr>
                <w:rFonts w:hint="eastAsia" w:asciiTheme="minorEastAsia" w:hAnsiTheme="minorEastAsia"/>
                <w:sz w:val="24"/>
                <w:szCs w:val="24"/>
              </w:rPr>
              <w:t>合计</w:t>
            </w:r>
          </w:p>
        </w:tc>
        <w:tc>
          <w:tcPr>
            <w:tcW w:w="2131" w:type="dxa"/>
            <w:vAlign w:val="center"/>
          </w:tcPr>
          <w:p w14:paraId="0D4B9036">
            <w:pPr>
              <w:jc w:val="center"/>
              <w:rPr>
                <w:rFonts w:asciiTheme="minorEastAsia" w:hAnsiTheme="minorEastAsia"/>
                <w:sz w:val="24"/>
                <w:szCs w:val="24"/>
              </w:rPr>
            </w:pPr>
            <w:r>
              <w:rPr>
                <w:rFonts w:hint="eastAsia" w:asciiTheme="minorEastAsia" w:hAnsiTheme="minorEastAsia"/>
                <w:sz w:val="24"/>
                <w:szCs w:val="24"/>
              </w:rPr>
              <w:t>228.74</w:t>
            </w:r>
          </w:p>
        </w:tc>
        <w:tc>
          <w:tcPr>
            <w:tcW w:w="2130" w:type="dxa"/>
            <w:vAlign w:val="center"/>
          </w:tcPr>
          <w:p w14:paraId="67346B0D">
            <w:pPr>
              <w:jc w:val="center"/>
              <w:rPr>
                <w:rFonts w:asciiTheme="minorEastAsia" w:hAnsiTheme="minorEastAsia"/>
                <w:sz w:val="24"/>
                <w:szCs w:val="24"/>
              </w:rPr>
            </w:pPr>
            <w:r>
              <w:rPr>
                <w:rFonts w:hint="eastAsia" w:asciiTheme="minorEastAsia" w:hAnsiTheme="minorEastAsia"/>
                <w:sz w:val="24"/>
                <w:szCs w:val="24"/>
              </w:rPr>
              <w:t>269.88</w:t>
            </w:r>
          </w:p>
        </w:tc>
        <w:tc>
          <w:tcPr>
            <w:tcW w:w="2131" w:type="dxa"/>
            <w:vAlign w:val="center"/>
          </w:tcPr>
          <w:p w14:paraId="666CFBA5">
            <w:pPr>
              <w:jc w:val="center"/>
              <w:rPr>
                <w:rFonts w:asciiTheme="minorEastAsia" w:hAnsiTheme="minorEastAsia"/>
                <w:sz w:val="24"/>
                <w:szCs w:val="24"/>
              </w:rPr>
            </w:pPr>
            <w:r>
              <w:rPr>
                <w:rFonts w:hint="eastAsia" w:asciiTheme="minorEastAsia" w:hAnsiTheme="minorEastAsia"/>
                <w:sz w:val="24"/>
                <w:szCs w:val="24"/>
              </w:rPr>
              <w:t>41.14</w:t>
            </w:r>
          </w:p>
        </w:tc>
      </w:tr>
    </w:tbl>
    <w:p w14:paraId="695BF96A">
      <w:pPr>
        <w:ind w:firstLine="640" w:firstLineChars="200"/>
        <w:rPr>
          <w:rFonts w:asciiTheme="minorEastAsia" w:hAnsiTheme="minorEastAsia"/>
          <w:sz w:val="32"/>
          <w:szCs w:val="32"/>
        </w:rPr>
      </w:pPr>
      <w:r>
        <w:rPr>
          <w:rFonts w:hint="eastAsia" w:asciiTheme="minorEastAsia" w:hAnsiTheme="minorEastAsia"/>
          <w:sz w:val="32"/>
          <w:szCs w:val="32"/>
        </w:rPr>
        <w:t>2017年度，一般公共预算财政拨款“ 三公” 经费实际支出269.88万元，与预算对比减少16.69万元。其中因公出国（境）费持平，公务用车运行维护费减少16.69万元，公务接待费持平。</w:t>
      </w:r>
    </w:p>
    <w:p w14:paraId="3B0F2D72">
      <w:pPr>
        <w:ind w:firstLine="790" w:firstLineChars="246"/>
        <w:rPr>
          <w:b/>
          <w:sz w:val="32"/>
          <w:szCs w:val="32"/>
        </w:rPr>
      </w:pPr>
      <w:r>
        <w:rPr>
          <w:rFonts w:hint="eastAsia"/>
          <w:b/>
          <w:sz w:val="32"/>
          <w:szCs w:val="32"/>
        </w:rPr>
        <w:t>2017年度“ 三公” 经费支出预决算对比明细表</w:t>
      </w:r>
    </w:p>
    <w:p w14:paraId="01946413">
      <w:pPr>
        <w:jc w:val="right"/>
        <w:rPr>
          <w:sz w:val="28"/>
          <w:szCs w:val="28"/>
        </w:rPr>
      </w:pPr>
      <w:r>
        <w:rPr>
          <w:rFonts w:hint="eastAsia"/>
          <w:sz w:val="28"/>
          <w:szCs w:val="28"/>
        </w:rPr>
        <w:t>单位：万元</w:t>
      </w:r>
    </w:p>
    <w:tbl>
      <w:tblPr>
        <w:tblStyle w:val="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1"/>
        <w:gridCol w:w="2130"/>
        <w:gridCol w:w="2131"/>
      </w:tblGrid>
      <w:tr w14:paraId="7340E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56EC8E0F">
            <w:pPr>
              <w:jc w:val="center"/>
              <w:rPr>
                <w:sz w:val="24"/>
                <w:szCs w:val="24"/>
              </w:rPr>
            </w:pPr>
            <w:r>
              <w:rPr>
                <w:rFonts w:hint="eastAsia"/>
                <w:sz w:val="24"/>
                <w:szCs w:val="24"/>
              </w:rPr>
              <w:t>“ 三公” 经费</w:t>
            </w:r>
          </w:p>
        </w:tc>
        <w:tc>
          <w:tcPr>
            <w:tcW w:w="2131" w:type="dxa"/>
            <w:vAlign w:val="center"/>
          </w:tcPr>
          <w:p w14:paraId="6105CB7B">
            <w:pPr>
              <w:jc w:val="center"/>
              <w:rPr>
                <w:b/>
                <w:sz w:val="24"/>
                <w:szCs w:val="24"/>
              </w:rPr>
            </w:pPr>
            <w:r>
              <w:rPr>
                <w:rFonts w:hint="eastAsia"/>
                <w:sz w:val="24"/>
                <w:szCs w:val="24"/>
              </w:rPr>
              <w:t>2017年实际支出</w:t>
            </w:r>
          </w:p>
        </w:tc>
        <w:tc>
          <w:tcPr>
            <w:tcW w:w="2130" w:type="dxa"/>
            <w:vAlign w:val="center"/>
          </w:tcPr>
          <w:p w14:paraId="4BB6BC2A">
            <w:pPr>
              <w:jc w:val="center"/>
              <w:rPr>
                <w:sz w:val="24"/>
                <w:szCs w:val="24"/>
              </w:rPr>
            </w:pPr>
            <w:r>
              <w:rPr>
                <w:rFonts w:hint="eastAsia"/>
                <w:sz w:val="24"/>
                <w:szCs w:val="24"/>
              </w:rPr>
              <w:t>2017年预算</w:t>
            </w:r>
          </w:p>
        </w:tc>
        <w:tc>
          <w:tcPr>
            <w:tcW w:w="2131" w:type="dxa"/>
            <w:vAlign w:val="center"/>
          </w:tcPr>
          <w:p w14:paraId="27F453F5">
            <w:pPr>
              <w:jc w:val="center"/>
              <w:rPr>
                <w:b/>
                <w:sz w:val="24"/>
                <w:szCs w:val="24"/>
              </w:rPr>
            </w:pPr>
            <w:r>
              <w:rPr>
                <w:rFonts w:hint="eastAsia"/>
                <w:sz w:val="24"/>
                <w:szCs w:val="24"/>
              </w:rPr>
              <w:t>预决算对比</w:t>
            </w:r>
          </w:p>
        </w:tc>
      </w:tr>
      <w:tr w14:paraId="5F195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6593AFB5">
            <w:pPr>
              <w:jc w:val="center"/>
              <w:rPr>
                <w:sz w:val="24"/>
                <w:szCs w:val="24"/>
              </w:rPr>
            </w:pPr>
            <w:r>
              <w:rPr>
                <w:rFonts w:hint="eastAsia"/>
                <w:sz w:val="24"/>
                <w:szCs w:val="24"/>
              </w:rPr>
              <w:t>因公出国（境）支出</w:t>
            </w:r>
          </w:p>
        </w:tc>
        <w:tc>
          <w:tcPr>
            <w:tcW w:w="2131" w:type="dxa"/>
            <w:vAlign w:val="center"/>
          </w:tcPr>
          <w:p w14:paraId="155C7815">
            <w:pPr>
              <w:jc w:val="center"/>
              <w:rPr>
                <w:sz w:val="24"/>
                <w:szCs w:val="24"/>
              </w:rPr>
            </w:pPr>
            <w:r>
              <w:rPr>
                <w:rFonts w:hint="eastAsia"/>
                <w:sz w:val="24"/>
                <w:szCs w:val="24"/>
              </w:rPr>
              <w:t>0</w:t>
            </w:r>
          </w:p>
        </w:tc>
        <w:tc>
          <w:tcPr>
            <w:tcW w:w="2130" w:type="dxa"/>
            <w:vAlign w:val="center"/>
          </w:tcPr>
          <w:p w14:paraId="48D748F5">
            <w:pPr>
              <w:jc w:val="center"/>
              <w:rPr>
                <w:sz w:val="24"/>
                <w:szCs w:val="24"/>
              </w:rPr>
            </w:pPr>
            <w:r>
              <w:rPr>
                <w:rFonts w:hint="eastAsia"/>
                <w:sz w:val="24"/>
                <w:szCs w:val="24"/>
              </w:rPr>
              <w:t>0</w:t>
            </w:r>
          </w:p>
        </w:tc>
        <w:tc>
          <w:tcPr>
            <w:tcW w:w="2131" w:type="dxa"/>
            <w:vAlign w:val="center"/>
          </w:tcPr>
          <w:p w14:paraId="791000EE">
            <w:pPr>
              <w:jc w:val="center"/>
              <w:rPr>
                <w:sz w:val="24"/>
                <w:szCs w:val="24"/>
              </w:rPr>
            </w:pPr>
            <w:r>
              <w:rPr>
                <w:rFonts w:hint="eastAsia"/>
                <w:sz w:val="24"/>
                <w:szCs w:val="24"/>
              </w:rPr>
              <w:t>0</w:t>
            </w:r>
          </w:p>
        </w:tc>
      </w:tr>
      <w:tr w14:paraId="1B98C1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47F4D5A1">
            <w:pPr>
              <w:jc w:val="center"/>
              <w:rPr>
                <w:sz w:val="24"/>
                <w:szCs w:val="24"/>
              </w:rPr>
            </w:pPr>
            <w:r>
              <w:rPr>
                <w:rFonts w:hint="eastAsia"/>
                <w:sz w:val="24"/>
                <w:szCs w:val="24"/>
              </w:rPr>
              <w:t>公务用车运行维护费</w:t>
            </w:r>
          </w:p>
        </w:tc>
        <w:tc>
          <w:tcPr>
            <w:tcW w:w="2131" w:type="dxa"/>
            <w:vAlign w:val="center"/>
          </w:tcPr>
          <w:p w14:paraId="04B0F3E1">
            <w:pPr>
              <w:jc w:val="center"/>
              <w:rPr>
                <w:sz w:val="24"/>
                <w:szCs w:val="24"/>
              </w:rPr>
            </w:pPr>
            <w:r>
              <w:rPr>
                <w:rFonts w:hint="eastAsia"/>
                <w:sz w:val="24"/>
                <w:szCs w:val="24"/>
              </w:rPr>
              <w:t>269.88</w:t>
            </w:r>
          </w:p>
        </w:tc>
        <w:tc>
          <w:tcPr>
            <w:tcW w:w="2130" w:type="dxa"/>
            <w:vAlign w:val="center"/>
          </w:tcPr>
          <w:p w14:paraId="1C431A5C">
            <w:pPr>
              <w:jc w:val="center"/>
              <w:rPr>
                <w:sz w:val="24"/>
                <w:szCs w:val="24"/>
              </w:rPr>
            </w:pPr>
            <w:r>
              <w:rPr>
                <w:rFonts w:hint="eastAsia"/>
                <w:sz w:val="24"/>
                <w:szCs w:val="24"/>
              </w:rPr>
              <w:t>286.57</w:t>
            </w:r>
          </w:p>
        </w:tc>
        <w:tc>
          <w:tcPr>
            <w:tcW w:w="2131" w:type="dxa"/>
            <w:vAlign w:val="center"/>
          </w:tcPr>
          <w:p w14:paraId="04763A03">
            <w:pPr>
              <w:jc w:val="center"/>
              <w:rPr>
                <w:sz w:val="24"/>
                <w:szCs w:val="24"/>
              </w:rPr>
            </w:pPr>
            <w:r>
              <w:rPr>
                <w:rFonts w:hint="eastAsia"/>
                <w:sz w:val="24"/>
                <w:szCs w:val="24"/>
              </w:rPr>
              <w:t>-16.69</w:t>
            </w:r>
          </w:p>
        </w:tc>
      </w:tr>
      <w:tr w14:paraId="1ADAA8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0A651E13">
            <w:pPr>
              <w:jc w:val="center"/>
              <w:rPr>
                <w:sz w:val="24"/>
                <w:szCs w:val="24"/>
              </w:rPr>
            </w:pPr>
            <w:r>
              <w:rPr>
                <w:rFonts w:hint="eastAsia"/>
                <w:sz w:val="24"/>
                <w:szCs w:val="24"/>
              </w:rPr>
              <w:t>公务接待费</w:t>
            </w:r>
          </w:p>
        </w:tc>
        <w:tc>
          <w:tcPr>
            <w:tcW w:w="2131" w:type="dxa"/>
            <w:vAlign w:val="center"/>
          </w:tcPr>
          <w:p w14:paraId="0454C044">
            <w:pPr>
              <w:jc w:val="center"/>
              <w:rPr>
                <w:sz w:val="24"/>
                <w:szCs w:val="24"/>
              </w:rPr>
            </w:pPr>
            <w:r>
              <w:rPr>
                <w:rFonts w:hint="eastAsia"/>
                <w:sz w:val="24"/>
                <w:szCs w:val="24"/>
              </w:rPr>
              <w:t>0</w:t>
            </w:r>
          </w:p>
        </w:tc>
        <w:tc>
          <w:tcPr>
            <w:tcW w:w="2130" w:type="dxa"/>
            <w:vAlign w:val="center"/>
          </w:tcPr>
          <w:p w14:paraId="3037DEE4">
            <w:pPr>
              <w:jc w:val="center"/>
              <w:rPr>
                <w:sz w:val="24"/>
                <w:szCs w:val="24"/>
              </w:rPr>
            </w:pPr>
            <w:r>
              <w:rPr>
                <w:rFonts w:hint="eastAsia"/>
                <w:sz w:val="24"/>
                <w:szCs w:val="24"/>
              </w:rPr>
              <w:t>0</w:t>
            </w:r>
          </w:p>
        </w:tc>
        <w:tc>
          <w:tcPr>
            <w:tcW w:w="2131" w:type="dxa"/>
            <w:vAlign w:val="center"/>
          </w:tcPr>
          <w:p w14:paraId="12DBF9A8">
            <w:pPr>
              <w:jc w:val="center"/>
              <w:rPr>
                <w:sz w:val="24"/>
                <w:szCs w:val="24"/>
              </w:rPr>
            </w:pPr>
            <w:r>
              <w:rPr>
                <w:rFonts w:hint="eastAsia"/>
                <w:sz w:val="24"/>
                <w:szCs w:val="24"/>
              </w:rPr>
              <w:t>0</w:t>
            </w:r>
          </w:p>
        </w:tc>
      </w:tr>
      <w:tr w14:paraId="22597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vAlign w:val="center"/>
          </w:tcPr>
          <w:p w14:paraId="34A8FAB4">
            <w:pPr>
              <w:jc w:val="center"/>
              <w:rPr>
                <w:sz w:val="24"/>
                <w:szCs w:val="24"/>
              </w:rPr>
            </w:pPr>
            <w:r>
              <w:rPr>
                <w:rFonts w:hint="eastAsia"/>
                <w:sz w:val="24"/>
                <w:szCs w:val="24"/>
              </w:rPr>
              <w:t>合计</w:t>
            </w:r>
          </w:p>
        </w:tc>
        <w:tc>
          <w:tcPr>
            <w:tcW w:w="2131" w:type="dxa"/>
            <w:vAlign w:val="center"/>
          </w:tcPr>
          <w:p w14:paraId="527A52A6">
            <w:pPr>
              <w:jc w:val="center"/>
              <w:rPr>
                <w:sz w:val="24"/>
                <w:szCs w:val="24"/>
              </w:rPr>
            </w:pPr>
            <w:r>
              <w:rPr>
                <w:rFonts w:hint="eastAsia"/>
                <w:sz w:val="24"/>
                <w:szCs w:val="24"/>
              </w:rPr>
              <w:t>269.88</w:t>
            </w:r>
          </w:p>
        </w:tc>
        <w:tc>
          <w:tcPr>
            <w:tcW w:w="2130" w:type="dxa"/>
            <w:vAlign w:val="center"/>
          </w:tcPr>
          <w:p w14:paraId="67995C79">
            <w:pPr>
              <w:jc w:val="center"/>
              <w:rPr>
                <w:sz w:val="24"/>
                <w:szCs w:val="24"/>
              </w:rPr>
            </w:pPr>
            <w:r>
              <w:rPr>
                <w:rFonts w:hint="eastAsia"/>
                <w:sz w:val="24"/>
                <w:szCs w:val="24"/>
              </w:rPr>
              <w:t>286.57</w:t>
            </w:r>
          </w:p>
        </w:tc>
        <w:tc>
          <w:tcPr>
            <w:tcW w:w="2131" w:type="dxa"/>
            <w:vAlign w:val="center"/>
          </w:tcPr>
          <w:p w14:paraId="72233B21">
            <w:pPr>
              <w:jc w:val="center"/>
              <w:rPr>
                <w:sz w:val="24"/>
                <w:szCs w:val="24"/>
              </w:rPr>
            </w:pPr>
            <w:r>
              <w:rPr>
                <w:rFonts w:hint="eastAsia"/>
                <w:sz w:val="24"/>
                <w:szCs w:val="24"/>
              </w:rPr>
              <w:t>-16.69</w:t>
            </w:r>
          </w:p>
        </w:tc>
      </w:tr>
    </w:tbl>
    <w:p w14:paraId="6C59DCFB">
      <w:pPr>
        <w:ind w:firstLine="643" w:firstLineChars="200"/>
        <w:rPr>
          <w:rFonts w:asciiTheme="minorEastAsia" w:hAnsiTheme="minorEastAsia"/>
          <w:sz w:val="32"/>
          <w:szCs w:val="32"/>
        </w:rPr>
      </w:pPr>
      <w:r>
        <w:rPr>
          <w:rFonts w:hint="eastAsia" w:asciiTheme="minorEastAsia" w:hAnsiTheme="minorEastAsia"/>
          <w:b/>
          <w:sz w:val="32"/>
          <w:szCs w:val="32"/>
        </w:rPr>
        <w:t>（一）因公出国（ 境）支出0万元。</w:t>
      </w:r>
      <w:r>
        <w:rPr>
          <w:rFonts w:hint="eastAsia" w:asciiTheme="minorEastAsia" w:hAnsiTheme="minorEastAsia"/>
          <w:sz w:val="32"/>
          <w:szCs w:val="32"/>
        </w:rPr>
        <w:t>本年度我局无因公出国出境支出。与2016年相比持平，与年初预算相比持平。</w:t>
      </w:r>
    </w:p>
    <w:p w14:paraId="176921B5">
      <w:pPr>
        <w:ind w:firstLine="643" w:firstLineChars="200"/>
        <w:rPr>
          <w:rFonts w:asciiTheme="minorEastAsia" w:hAnsiTheme="minorEastAsia"/>
          <w:sz w:val="32"/>
          <w:szCs w:val="32"/>
        </w:rPr>
      </w:pPr>
      <w:r>
        <w:rPr>
          <w:rFonts w:hint="eastAsia" w:asciiTheme="minorEastAsia" w:hAnsiTheme="minorEastAsia"/>
          <w:b/>
          <w:sz w:val="32"/>
          <w:szCs w:val="32"/>
        </w:rPr>
        <w:t>（二）公务用车运行维护费支出269.88万元。</w:t>
      </w:r>
      <w:r>
        <w:rPr>
          <w:rFonts w:hint="eastAsia" w:asciiTheme="minorEastAsia" w:hAnsiTheme="minorEastAsia"/>
          <w:sz w:val="32"/>
          <w:szCs w:val="32"/>
        </w:rPr>
        <w:t>本年度我局公务用车保有量</w:t>
      </w:r>
      <w:r>
        <w:rPr>
          <w:rFonts w:hint="eastAsia" w:asciiTheme="minorEastAsia" w:hAnsiTheme="minorEastAsia"/>
          <w:color w:val="000000" w:themeColor="text1"/>
          <w:sz w:val="32"/>
          <w:szCs w:val="32"/>
          <w14:textFill>
            <w14:solidFill>
              <w14:schemeClr w14:val="tx1"/>
            </w14:solidFill>
          </w14:textFill>
        </w:rPr>
        <w:t>94</w:t>
      </w:r>
      <w:r>
        <w:rPr>
          <w:rFonts w:hint="eastAsia" w:asciiTheme="minorEastAsia" w:hAnsiTheme="minorEastAsia"/>
          <w:sz w:val="32"/>
          <w:szCs w:val="32"/>
        </w:rPr>
        <w:t>辆。与2016年度相比，公务用车运行维护费增加41.14万元，增加17.99%；与年初预算相比， 减少16.69万元，减少5.83%。主要原因：与2016年相比增加是因为“创城”工作需要，加大执勤、巡逻力度。与2017年预算相比减少的原因是加强公务用车管理，切实压缩公务用车费用支出； 还有2017年9月以后， 国一国二标准车辆限行，公务用车使用受到限制，费用也相应降低。我局2017年度没有购置公务用车，未发生公务用车购置费，较年初预算和2016年决算无增减变化。</w:t>
      </w:r>
    </w:p>
    <w:p w14:paraId="57322967">
      <w:pPr>
        <w:ind w:firstLine="643" w:firstLineChars="200"/>
        <w:rPr>
          <w:rFonts w:asciiTheme="minorEastAsia" w:hAnsiTheme="minorEastAsia"/>
          <w:sz w:val="32"/>
          <w:szCs w:val="32"/>
        </w:rPr>
      </w:pPr>
      <w:r>
        <w:rPr>
          <w:rFonts w:hint="eastAsia" w:asciiTheme="minorEastAsia" w:hAnsiTheme="minorEastAsia"/>
          <w:b/>
          <w:sz w:val="32"/>
          <w:szCs w:val="32"/>
        </w:rPr>
        <w:t>（三）公务接待费支出0万元。</w:t>
      </w:r>
      <w:r>
        <w:rPr>
          <w:rFonts w:hint="eastAsia" w:asciiTheme="minorEastAsia" w:hAnsiTheme="minorEastAsia"/>
          <w:sz w:val="32"/>
          <w:szCs w:val="32"/>
        </w:rPr>
        <w:t>本年度无公务接待。与2016年决算相比持平；与年初预算相比持平。</w:t>
      </w:r>
    </w:p>
    <w:p w14:paraId="387364FC">
      <w:pPr>
        <w:rPr>
          <w:b/>
          <w:sz w:val="36"/>
          <w:szCs w:val="36"/>
        </w:rPr>
      </w:pPr>
      <w:r>
        <w:rPr>
          <w:rFonts w:hint="eastAsia"/>
          <w:b/>
          <w:sz w:val="36"/>
          <w:szCs w:val="36"/>
        </w:rPr>
        <w:t>六、 绩效预算管理工作开展情况说明</w:t>
      </w:r>
    </w:p>
    <w:p w14:paraId="0E30D133">
      <w:pPr>
        <w:ind w:firstLine="640" w:firstLineChars="200"/>
        <w:rPr>
          <w:rFonts w:hint="eastAsia" w:ascii="宋体" w:hAnsi="宋体"/>
          <w:sz w:val="32"/>
          <w:szCs w:val="32"/>
          <w:lang w:eastAsia="zh-CN"/>
        </w:rPr>
      </w:pPr>
      <w:r>
        <w:rPr>
          <w:rFonts w:hint="eastAsia" w:ascii="宋体" w:hAnsi="宋体"/>
          <w:sz w:val="32"/>
          <w:szCs w:val="32"/>
        </w:rPr>
        <w:t>（一）绩效管理工作开展情况</w:t>
      </w:r>
      <w:r>
        <w:rPr>
          <w:rFonts w:hint="eastAsia" w:ascii="宋体" w:hAnsi="宋体"/>
          <w:sz w:val="32"/>
          <w:szCs w:val="32"/>
          <w:lang w:eastAsia="zh-CN"/>
        </w:rPr>
        <w:t>。</w:t>
      </w:r>
      <w:r>
        <w:rPr>
          <w:rFonts w:hint="eastAsia" w:ascii="宋体" w:hAnsi="宋体"/>
          <w:sz w:val="32"/>
          <w:szCs w:val="32"/>
        </w:rPr>
        <w:t>根据绩效预算管理改革督察要求，本单位认真开展了预算绩效管理改革开展情况自查，对部门全面规范绩效预算编制、严格预算执行管理、推进绩效评价工作、推进预决算信息公开等方面进行了自评，根据中国石家庄市委全面深化改革领导小组办公室《关于推进绩效预算管理改革情况的督察通报》（石改革办字[2018]25号），考核结果为良好</w:t>
      </w:r>
      <w:r>
        <w:rPr>
          <w:rFonts w:hint="eastAsia" w:ascii="宋体" w:hAnsi="宋体"/>
          <w:sz w:val="32"/>
          <w:szCs w:val="32"/>
          <w:lang w:eastAsia="zh-CN"/>
        </w:rPr>
        <w:t>。</w:t>
      </w:r>
    </w:p>
    <w:p w14:paraId="7F604081">
      <w:pPr>
        <w:ind w:firstLine="640" w:firstLineChars="200"/>
        <w:rPr>
          <w:rFonts w:hint="eastAsia" w:ascii="宋体" w:hAnsi="宋体"/>
          <w:sz w:val="32"/>
          <w:szCs w:val="32"/>
          <w:lang w:eastAsia="zh-CN"/>
        </w:rPr>
      </w:pPr>
      <w:r>
        <w:rPr>
          <w:rFonts w:hint="eastAsia" w:ascii="宋体" w:hAnsi="宋体"/>
          <w:sz w:val="32"/>
          <w:szCs w:val="32"/>
        </w:rPr>
        <w:t>（二）预算项目绩效评价开展情况</w:t>
      </w:r>
      <w:r>
        <w:rPr>
          <w:rFonts w:hint="eastAsia" w:ascii="宋体" w:hAnsi="宋体"/>
          <w:sz w:val="32"/>
          <w:szCs w:val="32"/>
          <w:lang w:eastAsia="zh-CN"/>
        </w:rPr>
        <w:t>。</w:t>
      </w:r>
      <w:r>
        <w:rPr>
          <w:rFonts w:hint="eastAsia" w:ascii="宋体" w:hAnsi="宋体"/>
          <w:sz w:val="32"/>
          <w:szCs w:val="32"/>
        </w:rPr>
        <w:t>根据预算绩效管理要求，本单位组织对2017年度一般公共预算项目支出全面开展绩效自评，涉及</w:t>
      </w:r>
      <w:r>
        <w:rPr>
          <w:rFonts w:hint="eastAsia" w:ascii="宋体" w:hAnsi="宋体"/>
          <w:sz w:val="32"/>
          <w:szCs w:val="32"/>
          <w:lang w:eastAsia="zh-CN"/>
        </w:rPr>
        <w:t>大要案经费、维稳经费、巡警经费、办案业务费等共计</w:t>
      </w:r>
      <w:r>
        <w:rPr>
          <w:rFonts w:hint="eastAsia" w:ascii="宋体" w:hAnsi="宋体"/>
          <w:sz w:val="32"/>
          <w:szCs w:val="32"/>
          <w:lang w:val="en-US" w:eastAsia="zh-CN"/>
        </w:rPr>
        <w:t>27</w:t>
      </w:r>
      <w:r>
        <w:rPr>
          <w:rFonts w:hint="eastAsia" w:ascii="宋体" w:hAnsi="宋体"/>
          <w:sz w:val="32"/>
          <w:szCs w:val="32"/>
        </w:rPr>
        <w:t>个项目，涉及资金</w:t>
      </w:r>
      <w:r>
        <w:rPr>
          <w:rFonts w:hint="eastAsia" w:ascii="宋体" w:hAnsi="宋体"/>
          <w:sz w:val="32"/>
          <w:szCs w:val="32"/>
          <w:lang w:val="en-US" w:eastAsia="zh-CN"/>
        </w:rPr>
        <w:t>2767.68</w:t>
      </w:r>
      <w:r>
        <w:rPr>
          <w:rFonts w:hint="eastAsia" w:ascii="宋体" w:hAnsi="宋体"/>
          <w:sz w:val="32"/>
          <w:szCs w:val="32"/>
        </w:rPr>
        <w:t>万元。从评价情况看，评价结果为良好</w:t>
      </w:r>
      <w:r>
        <w:rPr>
          <w:rFonts w:hint="eastAsia" w:ascii="宋体" w:hAnsi="宋体"/>
          <w:sz w:val="32"/>
          <w:szCs w:val="32"/>
          <w:lang w:eastAsia="zh-CN"/>
        </w:rPr>
        <w:t>。</w:t>
      </w:r>
    </w:p>
    <w:p w14:paraId="610A09DA">
      <w:pPr>
        <w:spacing w:line="560" w:lineRule="exact"/>
        <w:ind w:firstLine="640"/>
        <w:rPr>
          <w:rFonts w:hint="eastAsia" w:ascii="宋体" w:hAnsi="宋体"/>
          <w:sz w:val="32"/>
          <w:szCs w:val="32"/>
          <w:lang w:eastAsia="zh-CN"/>
        </w:rPr>
      </w:pPr>
      <w:r>
        <w:rPr>
          <w:rFonts w:hint="eastAsia" w:ascii="宋体" w:hAnsi="宋体"/>
          <w:sz w:val="32"/>
          <w:szCs w:val="32"/>
        </w:rPr>
        <w:t>（三）预算项目绩效自评选例</w:t>
      </w:r>
      <w:r>
        <w:rPr>
          <w:rFonts w:hint="eastAsia" w:ascii="宋体" w:hAnsi="宋体"/>
          <w:sz w:val="32"/>
          <w:szCs w:val="32"/>
          <w:lang w:eastAsia="zh-CN"/>
        </w:rPr>
        <w:t>。</w:t>
      </w:r>
      <w:r>
        <w:rPr>
          <w:rFonts w:hint="eastAsia" w:ascii="宋体" w:hAnsi="宋体"/>
          <w:sz w:val="32"/>
          <w:szCs w:val="32"/>
        </w:rPr>
        <w:t>本单位项目绩效自评：根据年初设定的绩效目标，</w:t>
      </w:r>
      <w:r>
        <w:rPr>
          <w:rFonts w:hint="eastAsia" w:ascii="宋体" w:hAnsi="宋体"/>
          <w:sz w:val="32"/>
          <w:szCs w:val="32"/>
          <w:lang w:val="en-US" w:eastAsia="zh-CN"/>
        </w:rPr>
        <w:t>16个</w:t>
      </w:r>
      <w:r>
        <w:rPr>
          <w:rFonts w:hint="eastAsia" w:ascii="宋体" w:hAnsi="宋体"/>
          <w:sz w:val="32"/>
          <w:szCs w:val="32"/>
        </w:rPr>
        <w:t>项目绩效自评结果为良好。项目全年预算数为</w:t>
      </w:r>
      <w:r>
        <w:rPr>
          <w:rFonts w:hint="eastAsia" w:ascii="宋体" w:hAnsi="宋体"/>
          <w:sz w:val="32"/>
          <w:szCs w:val="32"/>
          <w:lang w:val="en-US" w:eastAsia="zh-CN"/>
        </w:rPr>
        <w:t>2144.41</w:t>
      </w:r>
      <w:r>
        <w:rPr>
          <w:rFonts w:hint="eastAsia" w:ascii="宋体" w:hAnsi="宋体"/>
          <w:sz w:val="32"/>
          <w:szCs w:val="32"/>
        </w:rPr>
        <w:t>万元，执行数为</w:t>
      </w:r>
      <w:r>
        <w:rPr>
          <w:rFonts w:hint="eastAsia" w:ascii="宋体" w:hAnsi="宋体"/>
          <w:sz w:val="32"/>
          <w:szCs w:val="32"/>
          <w:lang w:val="en-US" w:eastAsia="zh-CN"/>
        </w:rPr>
        <w:t>2767.68</w:t>
      </w:r>
      <w:r>
        <w:rPr>
          <w:rFonts w:hint="eastAsia" w:ascii="宋体" w:hAnsi="宋体"/>
          <w:sz w:val="32"/>
          <w:szCs w:val="32"/>
        </w:rPr>
        <w:t>万元，完成预算的</w:t>
      </w:r>
      <w:r>
        <w:rPr>
          <w:rFonts w:hint="eastAsia" w:ascii="宋体" w:hAnsi="宋体"/>
          <w:sz w:val="32"/>
          <w:szCs w:val="32"/>
          <w:lang w:val="en-US" w:eastAsia="zh-CN"/>
        </w:rPr>
        <w:t>78%</w:t>
      </w:r>
      <w:r>
        <w:rPr>
          <w:rFonts w:hint="eastAsia" w:ascii="宋体" w:hAnsi="宋体"/>
          <w:sz w:val="32"/>
          <w:szCs w:val="32"/>
        </w:rPr>
        <w:t>。主要产出和效果</w:t>
      </w:r>
      <w:r>
        <w:rPr>
          <w:rFonts w:hint="eastAsia" w:ascii="宋体" w:hAnsi="宋体"/>
          <w:sz w:val="32"/>
          <w:szCs w:val="32"/>
          <w:lang w:eastAsia="zh-CN"/>
        </w:rPr>
        <w:t>是</w:t>
      </w:r>
      <w:r>
        <w:rPr>
          <w:rFonts w:hint="eastAsia" w:ascii="宋体" w:hAnsi="宋体" w:eastAsia="宋体" w:cs="宋体"/>
          <w:b w:val="0"/>
          <w:i w:val="0"/>
          <w:snapToGrid/>
          <w:color w:val="auto"/>
          <w:sz w:val="32"/>
          <w:szCs w:val="32"/>
          <w:highlight w:val="none"/>
          <w:lang w:eastAsia="zh-CN"/>
        </w:rPr>
        <w:t>在区委区政府的统一领导下，围绕区委区政</w:t>
      </w:r>
      <w:r>
        <w:rPr>
          <w:rFonts w:hint="eastAsia" w:ascii="宋体" w:hAnsi="宋体" w:eastAsia="宋体" w:cs="宋体"/>
          <w:b w:val="0"/>
          <w:i w:val="0"/>
          <w:snapToGrid/>
          <w:color w:val="000000"/>
          <w:sz w:val="32"/>
          <w:szCs w:val="32"/>
          <w:lang w:eastAsia="zh-CN"/>
        </w:rPr>
        <w:t>府工作中心，区公安局</w:t>
      </w:r>
      <w:r>
        <w:rPr>
          <w:rFonts w:hint="eastAsia" w:ascii="宋体" w:hAnsi="宋体" w:cs="宋体"/>
          <w:b/>
          <w:bCs/>
          <w:i w:val="0"/>
          <w:snapToGrid/>
          <w:color w:val="000000"/>
          <w:sz w:val="32"/>
          <w:szCs w:val="32"/>
          <w:lang w:eastAsia="zh-CN"/>
        </w:rPr>
        <w:t>一是</w:t>
      </w:r>
      <w:r>
        <w:rPr>
          <w:rFonts w:hint="eastAsia" w:ascii="宋体" w:hAnsi="宋体" w:eastAsia="宋体" w:cs="宋体"/>
          <w:spacing w:val="6"/>
          <w:sz w:val="32"/>
          <w:szCs w:val="32"/>
          <w:lang w:val="en-US" w:eastAsia="zh-CN"/>
        </w:rPr>
        <w:t>推进执法规范化建设，二</w:t>
      </w:r>
      <w:r>
        <w:rPr>
          <w:rFonts w:hint="eastAsia" w:ascii="宋体" w:hAnsi="宋体" w:eastAsia="宋体" w:cs="宋体"/>
          <w:b/>
          <w:bCs/>
          <w:sz w:val="32"/>
          <w:szCs w:val="32"/>
          <w:lang w:val="en-US" w:eastAsia="zh-CN"/>
        </w:rPr>
        <w:t>是</w:t>
      </w:r>
      <w:r>
        <w:rPr>
          <w:rFonts w:hint="eastAsia" w:ascii="宋体" w:hAnsi="宋体" w:eastAsia="宋体" w:cs="宋体"/>
          <w:b w:val="0"/>
          <w:bCs w:val="0"/>
          <w:sz w:val="32"/>
          <w:szCs w:val="32"/>
          <w:lang w:val="en-US" w:eastAsia="zh-CN"/>
        </w:rPr>
        <w:t>提高涉枪涉爆等公安部督导案件侦破率</w:t>
      </w:r>
      <w:r>
        <w:rPr>
          <w:rFonts w:hint="eastAsia" w:ascii="宋体" w:hAnsi="宋体" w:eastAsia="宋体" w:cs="宋体"/>
          <w:b w:val="0"/>
          <w:bCs w:val="0"/>
          <w:spacing w:val="6"/>
          <w:sz w:val="32"/>
          <w:szCs w:val="32"/>
          <w:lang w:val="en-US" w:eastAsia="zh-CN"/>
        </w:rPr>
        <w:t>；</w:t>
      </w:r>
      <w:r>
        <w:rPr>
          <w:rFonts w:hint="eastAsia" w:ascii="宋体" w:hAnsi="宋体" w:eastAsia="宋体" w:cs="宋体"/>
          <w:sz w:val="32"/>
          <w:szCs w:val="32"/>
          <w:lang w:eastAsia="zh-CN"/>
        </w:rPr>
        <w:t>加强矛盾纠纷排查调处化解，通有效化解矛头源头。</w:t>
      </w:r>
      <w:r>
        <w:rPr>
          <w:rFonts w:hint="eastAsia" w:ascii="宋体" w:hAnsi="宋体" w:eastAsia="宋体" w:cs="宋体"/>
          <w:b/>
          <w:bCs/>
          <w:sz w:val="32"/>
          <w:szCs w:val="32"/>
          <w:lang w:val="en-US" w:eastAsia="zh-CN"/>
        </w:rPr>
        <w:t>四是</w:t>
      </w:r>
      <w:r>
        <w:rPr>
          <w:rFonts w:hint="eastAsia" w:ascii="宋体" w:hAnsi="宋体" w:eastAsia="宋体" w:cs="宋体"/>
          <w:sz w:val="32"/>
          <w:szCs w:val="32"/>
        </w:rPr>
        <w:t>圆满完成了</w:t>
      </w:r>
      <w:r>
        <w:rPr>
          <w:rFonts w:hint="eastAsia" w:ascii="宋体" w:hAnsi="宋体" w:eastAsia="宋体" w:cs="宋体"/>
          <w:sz w:val="32"/>
          <w:szCs w:val="32"/>
          <w:lang w:eastAsia="zh-CN"/>
        </w:rPr>
        <w:t>重要敏感时期维稳安保</w:t>
      </w:r>
      <w:r>
        <w:rPr>
          <w:rFonts w:hint="eastAsia" w:ascii="宋体" w:hAnsi="宋体" w:eastAsia="宋体" w:cs="宋体"/>
          <w:sz w:val="32"/>
          <w:szCs w:val="32"/>
        </w:rPr>
        <w:t>任务</w:t>
      </w:r>
      <w:r>
        <w:rPr>
          <w:rFonts w:hint="eastAsia" w:ascii="宋体" w:hAnsi="宋体" w:eastAsia="宋体" w:cs="宋体"/>
          <w:sz w:val="32"/>
          <w:szCs w:val="32"/>
          <w:lang w:eastAsia="zh-CN"/>
        </w:rPr>
        <w:t>；</w:t>
      </w:r>
      <w:r>
        <w:rPr>
          <w:rFonts w:hint="eastAsia" w:ascii="宋体" w:hAnsi="宋体" w:eastAsia="宋体" w:cs="宋体"/>
          <w:b w:val="0"/>
          <w:i w:val="0"/>
          <w:snapToGrid/>
          <w:color w:val="000000"/>
          <w:sz w:val="32"/>
          <w:szCs w:val="32"/>
          <w:lang w:eastAsia="zh-CN"/>
        </w:rPr>
        <w:t>进一步深化平安建设，全面提升人民群众安全感</w:t>
      </w:r>
      <w:r>
        <w:rPr>
          <w:rFonts w:hint="eastAsia" w:ascii="宋体" w:hAnsi="宋体" w:cs="宋体"/>
          <w:b w:val="0"/>
          <w:i w:val="0"/>
          <w:snapToGrid/>
          <w:color w:val="000000"/>
          <w:sz w:val="32"/>
          <w:szCs w:val="32"/>
          <w:lang w:eastAsia="zh-CN"/>
        </w:rPr>
        <w:t>和满意度</w:t>
      </w:r>
      <w:r>
        <w:rPr>
          <w:rFonts w:hint="eastAsia" w:ascii="宋体" w:hAnsi="宋体" w:eastAsia="宋体" w:cs="宋体"/>
          <w:b w:val="0"/>
          <w:i w:val="0"/>
          <w:snapToGrid/>
          <w:color w:val="000000"/>
          <w:sz w:val="32"/>
          <w:szCs w:val="32"/>
          <w:lang w:eastAsia="zh-CN"/>
        </w:rPr>
        <w:t>；突出创新创安，切实提高预测预警预防能力：加强社会治理网格化，推进社会治理信息化，</w:t>
      </w:r>
      <w:r>
        <w:rPr>
          <w:rFonts w:hint="eastAsia" w:ascii="宋体" w:hAnsi="宋体" w:cs="宋体"/>
          <w:b w:val="0"/>
          <w:i w:val="0"/>
          <w:snapToGrid/>
          <w:color w:val="000000"/>
          <w:sz w:val="32"/>
          <w:szCs w:val="32"/>
          <w:lang w:eastAsia="zh-CN"/>
        </w:rPr>
        <w:t>提高平安创建技防能力，</w:t>
      </w:r>
      <w:r>
        <w:rPr>
          <w:rFonts w:hint="eastAsia" w:ascii="宋体" w:hAnsi="宋体" w:eastAsia="宋体" w:cs="宋体"/>
          <w:b w:val="0"/>
          <w:i w:val="0"/>
          <w:snapToGrid/>
          <w:color w:val="000000"/>
          <w:sz w:val="32"/>
          <w:szCs w:val="32"/>
          <w:lang w:eastAsia="zh-CN"/>
        </w:rPr>
        <w:t>坚持社会治理法治化，全面提升社会治理创新的能力水平。</w:t>
      </w:r>
      <w:r>
        <w:rPr>
          <w:rFonts w:hint="eastAsia" w:ascii="宋体" w:hAnsi="宋体" w:eastAsia="宋体" w:cs="宋体"/>
          <w:sz w:val="32"/>
          <w:szCs w:val="32"/>
        </w:rPr>
        <w:br w:type="textWrapping"/>
      </w:r>
      <w:r>
        <w:rPr>
          <w:rFonts w:hint="eastAsia" w:ascii="宋体" w:hAnsi="宋体" w:eastAsia="宋体" w:cs="宋体"/>
          <w:sz w:val="32"/>
          <w:szCs w:val="32"/>
          <w:lang w:val="en-US" w:eastAsia="zh-CN"/>
        </w:rPr>
        <w:t xml:space="preserve">    2017年我单位在编报预算中严格遵守</w:t>
      </w:r>
      <w:r>
        <w:rPr>
          <w:rFonts w:hint="eastAsia" w:ascii="宋体" w:hAnsi="宋体" w:eastAsia="宋体" w:cs="宋体"/>
          <w:sz w:val="32"/>
          <w:szCs w:val="32"/>
        </w:rPr>
        <w:t>《中华人民共和国会计法》、《中华人民共和国预算法》</w:t>
      </w:r>
      <w:r>
        <w:rPr>
          <w:rFonts w:hint="eastAsia" w:ascii="宋体" w:hAnsi="宋体" w:eastAsia="宋体" w:cs="宋体"/>
          <w:sz w:val="32"/>
          <w:szCs w:val="32"/>
          <w:lang w:eastAsia="zh-CN"/>
        </w:rPr>
        <w:t>、</w:t>
      </w:r>
      <w:r>
        <w:rPr>
          <w:rFonts w:hint="eastAsia" w:ascii="宋体" w:hAnsi="宋体" w:eastAsia="宋体" w:cs="宋体"/>
          <w:sz w:val="32"/>
          <w:szCs w:val="32"/>
        </w:rPr>
        <w:t>《行政事业单位内部控制规范(试行)》</w:t>
      </w:r>
      <w:r>
        <w:rPr>
          <w:rFonts w:hint="eastAsia" w:ascii="宋体" w:hAnsi="宋体" w:eastAsia="宋体" w:cs="宋体"/>
          <w:sz w:val="32"/>
          <w:szCs w:val="32"/>
          <w:lang w:eastAsia="zh-CN"/>
        </w:rPr>
        <w:t>规定，按照本单位内控制度对预算、决算编制程序的要求，结合本单位实际情况编报本单位预算、决算，并报送财政局审核批复</w:t>
      </w:r>
      <w:r>
        <w:rPr>
          <w:rFonts w:hint="eastAsia" w:ascii="宋体" w:hAnsi="宋体" w:eastAsia="宋体" w:cs="宋体"/>
          <w:bCs/>
          <w:sz w:val="32"/>
          <w:szCs w:val="32"/>
        </w:rPr>
        <w:t>并对实施效果进行检查评价。</w:t>
      </w:r>
    </w:p>
    <w:p w14:paraId="67F7D3EE">
      <w:pPr>
        <w:rPr>
          <w:b/>
          <w:sz w:val="36"/>
          <w:szCs w:val="36"/>
        </w:rPr>
      </w:pPr>
      <w:r>
        <w:rPr>
          <w:rFonts w:hint="eastAsia"/>
          <w:b/>
          <w:sz w:val="36"/>
          <w:szCs w:val="36"/>
        </w:rPr>
        <w:t>七、 其他重要事项的说明</w:t>
      </w:r>
    </w:p>
    <w:p w14:paraId="1A4EE501">
      <w:pPr>
        <w:ind w:firstLine="640" w:firstLineChars="200"/>
        <w:rPr>
          <w:rFonts w:asciiTheme="minorEastAsia" w:hAnsiTheme="minorEastAsia"/>
          <w:sz w:val="32"/>
          <w:szCs w:val="32"/>
        </w:rPr>
      </w:pPr>
      <w:r>
        <w:rPr>
          <w:rFonts w:hint="eastAsia" w:asciiTheme="minorEastAsia" w:hAnsiTheme="minorEastAsia"/>
          <w:sz w:val="32"/>
          <w:szCs w:val="32"/>
        </w:rPr>
        <w:t>1、机关运转经费支出情况</w:t>
      </w:r>
    </w:p>
    <w:p w14:paraId="7031FCF6">
      <w:pPr>
        <w:ind w:firstLine="640" w:firstLineChars="200"/>
        <w:rPr>
          <w:rFonts w:asciiTheme="minorEastAsia" w:hAnsiTheme="minorEastAsia"/>
          <w:sz w:val="32"/>
          <w:szCs w:val="32"/>
        </w:rPr>
      </w:pPr>
      <w:r>
        <w:rPr>
          <w:rFonts w:hint="eastAsia" w:asciiTheme="minorEastAsia" w:hAnsiTheme="minorEastAsia"/>
          <w:sz w:val="32"/>
          <w:szCs w:val="32"/>
        </w:rPr>
        <w:t>2017年本部门机关运行经费823.23万元，比2016年度增加59.44万元，增加7.79%。主要原因是，2017年度部门工作任务比2016年度增加，因此差旅费支出随之增加。</w:t>
      </w:r>
    </w:p>
    <w:p w14:paraId="175ECF83">
      <w:pPr>
        <w:ind w:firstLine="640" w:firstLineChars="200"/>
        <w:rPr>
          <w:rFonts w:asciiTheme="minorEastAsia" w:hAnsiTheme="minorEastAsia"/>
          <w:sz w:val="32"/>
          <w:szCs w:val="32"/>
        </w:rPr>
      </w:pPr>
      <w:r>
        <w:rPr>
          <w:rFonts w:hint="eastAsia" w:asciiTheme="minorEastAsia" w:hAnsiTheme="minorEastAsia"/>
          <w:sz w:val="32"/>
          <w:szCs w:val="32"/>
        </w:rPr>
        <w:t>2、政府采购情况</w:t>
      </w:r>
    </w:p>
    <w:p w14:paraId="01165ACE">
      <w:pPr>
        <w:ind w:firstLine="640" w:firstLineChars="200"/>
        <w:rPr>
          <w:rFonts w:asciiTheme="minorEastAsia" w:hAnsiTheme="minorEastAsia"/>
          <w:sz w:val="32"/>
          <w:szCs w:val="32"/>
        </w:rPr>
      </w:pPr>
      <w:r>
        <w:rPr>
          <w:rFonts w:hint="eastAsia" w:asciiTheme="minorEastAsia" w:hAnsiTheme="minorEastAsia"/>
          <w:sz w:val="32"/>
          <w:szCs w:val="32"/>
        </w:rPr>
        <w:t>2017年本部门政府采购支出总额473.65万元，其中：政府采购货物支出203.37万元、政府采购工程支出141.16万元、 政府采购服务支出129.12万元。</w:t>
      </w:r>
    </w:p>
    <w:p w14:paraId="462F094C">
      <w:pPr>
        <w:ind w:firstLine="640" w:firstLineChars="200"/>
        <w:rPr>
          <w:rFonts w:asciiTheme="minorEastAsia" w:hAnsiTheme="minorEastAsia"/>
          <w:sz w:val="32"/>
          <w:szCs w:val="32"/>
        </w:rPr>
      </w:pPr>
      <w:r>
        <w:rPr>
          <w:rFonts w:hint="eastAsia" w:asciiTheme="minorEastAsia" w:hAnsiTheme="minorEastAsia"/>
          <w:sz w:val="32"/>
          <w:szCs w:val="32"/>
        </w:rPr>
        <w:t>3、国有资产占用情况</w:t>
      </w:r>
    </w:p>
    <w:p w14:paraId="67219AE1">
      <w:pPr>
        <w:ind w:firstLine="640" w:firstLineChars="200"/>
        <w:rPr>
          <w:rFonts w:asciiTheme="minorEastAsia" w:hAnsiTheme="minorEastAsia"/>
          <w:sz w:val="32"/>
          <w:szCs w:val="32"/>
        </w:rPr>
      </w:pPr>
      <w:r>
        <w:rPr>
          <w:rFonts w:hint="eastAsia" w:asciiTheme="minorEastAsia" w:hAnsiTheme="minorEastAsia"/>
          <w:sz w:val="32"/>
          <w:szCs w:val="32"/>
        </w:rPr>
        <w:t>截至2017年12月31日，本部门共有车辆94辆，其中，一般执法执勤用车82辆、特种专业技术用车12辆；单价 50 万元以上大型设备4台，单价100万元以上大型设备5台。</w:t>
      </w:r>
    </w:p>
    <w:p w14:paraId="2AE74959">
      <w:pPr>
        <w:spacing w:beforeLines="100" w:afterLines="100" w:line="360" w:lineRule="auto"/>
        <w:jc w:val="center"/>
        <w:rPr>
          <w:rFonts w:ascii="宋体" w:hAnsi="宋体" w:eastAsia="宋体"/>
          <w:b/>
          <w:sz w:val="44"/>
          <w:szCs w:val="44"/>
        </w:rPr>
      </w:pPr>
      <w:r>
        <w:rPr>
          <w:rFonts w:hint="eastAsia" w:ascii="宋体" w:hAnsi="宋体" w:eastAsia="宋体"/>
          <w:b/>
          <w:sz w:val="44"/>
          <w:szCs w:val="44"/>
        </w:rPr>
        <w:t>第四部分 名词解释</w:t>
      </w:r>
    </w:p>
    <w:p w14:paraId="3F0860A0">
      <w:pPr>
        <w:rPr>
          <w:b/>
          <w:sz w:val="36"/>
          <w:szCs w:val="36"/>
        </w:rPr>
      </w:pPr>
      <w:r>
        <w:rPr>
          <w:rFonts w:hint="eastAsia"/>
          <w:b/>
          <w:sz w:val="36"/>
          <w:szCs w:val="36"/>
        </w:rPr>
        <w:t>一、 财政拨款收入</w:t>
      </w:r>
    </w:p>
    <w:p w14:paraId="44BB4A1C">
      <w:pPr>
        <w:ind w:firstLine="640" w:firstLineChars="200"/>
        <w:rPr>
          <w:rFonts w:asciiTheme="minorEastAsia" w:hAnsiTheme="minorEastAsia"/>
          <w:sz w:val="32"/>
          <w:szCs w:val="32"/>
        </w:rPr>
      </w:pPr>
      <w:r>
        <w:rPr>
          <w:rFonts w:hint="eastAsia" w:asciiTheme="minorEastAsia" w:hAnsiTheme="minorEastAsia"/>
          <w:sz w:val="32"/>
          <w:szCs w:val="32"/>
        </w:rPr>
        <w:t>本年度从本级财政部门取得的财政拨款，包括一般公共预算财政拨款和政府性基金预算财政拨款。</w:t>
      </w:r>
    </w:p>
    <w:p w14:paraId="413947EF">
      <w:pPr>
        <w:rPr>
          <w:b/>
          <w:sz w:val="36"/>
          <w:szCs w:val="36"/>
        </w:rPr>
      </w:pPr>
      <w:r>
        <w:rPr>
          <w:rFonts w:hint="eastAsia"/>
          <w:b/>
          <w:sz w:val="36"/>
          <w:szCs w:val="36"/>
        </w:rPr>
        <w:t>二、 事业收入</w:t>
      </w:r>
    </w:p>
    <w:p w14:paraId="2F900354">
      <w:pPr>
        <w:ind w:firstLine="640" w:firstLineChars="200"/>
        <w:rPr>
          <w:rFonts w:asciiTheme="minorEastAsia" w:hAnsiTheme="minorEastAsia"/>
          <w:sz w:val="32"/>
          <w:szCs w:val="32"/>
        </w:rPr>
      </w:pPr>
      <w:r>
        <w:rPr>
          <w:rFonts w:hint="eastAsia" w:asciiTheme="minorEastAsia" w:hAnsiTheme="minorEastAsia"/>
          <w:sz w:val="32"/>
          <w:szCs w:val="32"/>
        </w:rPr>
        <w:t>指事业单位开展专业业务活动及辅助活动所取得的收入。</w:t>
      </w:r>
    </w:p>
    <w:p w14:paraId="69320FF6">
      <w:pPr>
        <w:rPr>
          <w:b/>
          <w:sz w:val="36"/>
          <w:szCs w:val="36"/>
        </w:rPr>
      </w:pPr>
      <w:r>
        <w:rPr>
          <w:rFonts w:hint="eastAsia"/>
          <w:b/>
          <w:sz w:val="36"/>
          <w:szCs w:val="36"/>
        </w:rPr>
        <w:t>三、 其他收入</w:t>
      </w:r>
    </w:p>
    <w:p w14:paraId="21B98CFB">
      <w:pPr>
        <w:ind w:firstLine="640" w:firstLineChars="200"/>
        <w:rPr>
          <w:rFonts w:asciiTheme="minorEastAsia" w:hAnsiTheme="minorEastAsia"/>
          <w:sz w:val="32"/>
          <w:szCs w:val="32"/>
        </w:rPr>
      </w:pPr>
      <w:r>
        <w:rPr>
          <w:rFonts w:hint="eastAsia" w:asciiTheme="minorEastAsia" w:hAnsiTheme="minorEastAsia"/>
          <w:sz w:val="32"/>
          <w:szCs w:val="32"/>
        </w:rPr>
        <w:t>指除上述“ 财政拨款收入” 、 “ 事业收入” 、 “ 经营收入” 等以外的收入。</w:t>
      </w:r>
    </w:p>
    <w:p w14:paraId="67AA338F">
      <w:pPr>
        <w:rPr>
          <w:b/>
          <w:sz w:val="36"/>
          <w:szCs w:val="36"/>
        </w:rPr>
      </w:pPr>
      <w:r>
        <w:rPr>
          <w:rFonts w:hint="eastAsia"/>
          <w:b/>
          <w:sz w:val="36"/>
          <w:szCs w:val="36"/>
        </w:rPr>
        <w:t>四、 用事业基金弥补收支差额</w:t>
      </w:r>
    </w:p>
    <w:p w14:paraId="3A736151">
      <w:pPr>
        <w:ind w:firstLine="640" w:firstLineChars="200"/>
        <w:rPr>
          <w:rFonts w:asciiTheme="minorEastAsia" w:hAnsiTheme="minorEastAsia"/>
          <w:sz w:val="32"/>
          <w:szCs w:val="32"/>
        </w:rPr>
      </w:pPr>
      <w:r>
        <w:rPr>
          <w:rFonts w:hint="eastAsia" w:asciiTheme="minorEastAsia" w:hAnsiTheme="minorEastAsia"/>
          <w:sz w:val="32"/>
          <w:szCs w:val="32"/>
        </w:rPr>
        <w:t>指事业单位在用当年的“ 财政拨款收入” 、 “ 财政拨款结转和结余资金” 、 “ 事业收入” 、 “ 经营收入” 、 “ 其他收入” 不足以安排当年支出的情况下，使用以前年度积累的事业基金（事业单位当年收支相抵后按国家规定提取、用于弥补以后年度收支差额的基金）弥补本年度收支缺口的资金。</w:t>
      </w:r>
    </w:p>
    <w:p w14:paraId="346FB1BD">
      <w:pPr>
        <w:rPr>
          <w:b/>
          <w:sz w:val="36"/>
          <w:szCs w:val="36"/>
        </w:rPr>
      </w:pPr>
      <w:r>
        <w:rPr>
          <w:rFonts w:hint="eastAsia"/>
          <w:b/>
          <w:sz w:val="36"/>
          <w:szCs w:val="36"/>
        </w:rPr>
        <w:t>五、 年初结转和结余</w:t>
      </w:r>
    </w:p>
    <w:p w14:paraId="68EFE5A5">
      <w:pPr>
        <w:ind w:firstLine="640" w:firstLineChars="200"/>
        <w:rPr>
          <w:rFonts w:asciiTheme="minorEastAsia" w:hAnsiTheme="minorEastAsia"/>
          <w:sz w:val="32"/>
          <w:szCs w:val="32"/>
        </w:rPr>
      </w:pPr>
      <w:r>
        <w:rPr>
          <w:rFonts w:hint="eastAsia" w:asciiTheme="minorEastAsia" w:hAnsiTheme="minorEastAsia"/>
          <w:sz w:val="32"/>
          <w:szCs w:val="32"/>
        </w:rPr>
        <w:t>指以前年度尚未完成、结转到本年仍按原规定用途继续使用的资金，或项目已完成等产生的结余资金。</w:t>
      </w:r>
    </w:p>
    <w:p w14:paraId="3114C373">
      <w:pPr>
        <w:rPr>
          <w:b/>
          <w:sz w:val="36"/>
          <w:szCs w:val="36"/>
        </w:rPr>
      </w:pPr>
      <w:r>
        <w:rPr>
          <w:rFonts w:hint="eastAsia"/>
          <w:b/>
          <w:sz w:val="36"/>
          <w:szCs w:val="36"/>
        </w:rPr>
        <w:t>六、 结余分配</w:t>
      </w:r>
    </w:p>
    <w:p w14:paraId="38DE386D">
      <w:pPr>
        <w:ind w:firstLine="640" w:firstLineChars="200"/>
        <w:rPr>
          <w:rFonts w:asciiTheme="minorEastAsia" w:hAnsiTheme="minorEastAsia"/>
          <w:sz w:val="32"/>
          <w:szCs w:val="32"/>
        </w:rPr>
      </w:pPr>
      <w:r>
        <w:rPr>
          <w:rFonts w:hint="eastAsia" w:asciiTheme="minorEastAsia" w:hAnsiTheme="minorEastAsia"/>
          <w:sz w:val="32"/>
          <w:szCs w:val="32"/>
        </w:rPr>
        <w:t>指事业单位按照事业单位会计制度的规定从非财政补助结余中分配的事业基金和职工福利基金等。</w:t>
      </w:r>
    </w:p>
    <w:p w14:paraId="178BBE06">
      <w:pPr>
        <w:rPr>
          <w:b/>
          <w:sz w:val="36"/>
          <w:szCs w:val="36"/>
        </w:rPr>
      </w:pPr>
      <w:r>
        <w:rPr>
          <w:rFonts w:hint="eastAsia"/>
          <w:b/>
          <w:sz w:val="36"/>
          <w:szCs w:val="36"/>
        </w:rPr>
        <w:t>七、 年末结转和结余</w:t>
      </w:r>
    </w:p>
    <w:p w14:paraId="57BBE99B">
      <w:pPr>
        <w:ind w:firstLine="640" w:firstLineChars="200"/>
        <w:rPr>
          <w:rFonts w:asciiTheme="minorEastAsia" w:hAnsiTheme="minorEastAsia"/>
          <w:sz w:val="32"/>
          <w:szCs w:val="32"/>
        </w:rPr>
      </w:pPr>
      <w:r>
        <w:rPr>
          <w:rFonts w:hint="eastAsia" w:asciiTheme="minorEastAsia" w:hAnsiTheme="minorEastAsia"/>
          <w:sz w:val="32"/>
          <w:szCs w:val="32"/>
        </w:rPr>
        <w:t>指单位按有关规定结转到下年或以后年度继续使用的资金，或项目已完成等产生的结余资金。</w:t>
      </w:r>
    </w:p>
    <w:p w14:paraId="5C86A4CD">
      <w:pPr>
        <w:rPr>
          <w:b/>
          <w:sz w:val="36"/>
          <w:szCs w:val="36"/>
        </w:rPr>
      </w:pPr>
      <w:r>
        <w:rPr>
          <w:rFonts w:hint="eastAsia"/>
          <w:b/>
          <w:sz w:val="36"/>
          <w:szCs w:val="36"/>
        </w:rPr>
        <w:t>八、 基本支出</w:t>
      </w:r>
    </w:p>
    <w:p w14:paraId="3DAD3EFA">
      <w:pPr>
        <w:ind w:firstLine="640" w:firstLineChars="200"/>
        <w:rPr>
          <w:rFonts w:asciiTheme="minorEastAsia" w:hAnsiTheme="minorEastAsia"/>
          <w:sz w:val="32"/>
          <w:szCs w:val="32"/>
        </w:rPr>
      </w:pPr>
      <w:r>
        <w:rPr>
          <w:rFonts w:hint="eastAsia" w:asciiTheme="minorEastAsia" w:hAnsiTheme="minorEastAsia"/>
          <w:sz w:val="32"/>
          <w:szCs w:val="32"/>
        </w:rPr>
        <w:t>指单位为保障机构正常运转、完成日常工作任务而发生的各项支出。</w:t>
      </w:r>
    </w:p>
    <w:p w14:paraId="0DD9A593">
      <w:pPr>
        <w:rPr>
          <w:b/>
          <w:sz w:val="36"/>
          <w:szCs w:val="36"/>
        </w:rPr>
      </w:pPr>
      <w:r>
        <w:rPr>
          <w:rFonts w:hint="eastAsia"/>
          <w:b/>
          <w:sz w:val="36"/>
          <w:szCs w:val="36"/>
        </w:rPr>
        <w:t>九、 项目支出</w:t>
      </w:r>
    </w:p>
    <w:p w14:paraId="70FB08C5">
      <w:pPr>
        <w:ind w:firstLine="640" w:firstLineChars="200"/>
        <w:rPr>
          <w:rFonts w:asciiTheme="minorEastAsia" w:hAnsiTheme="minorEastAsia"/>
          <w:sz w:val="32"/>
          <w:szCs w:val="32"/>
        </w:rPr>
      </w:pPr>
      <w:r>
        <w:rPr>
          <w:rFonts w:hint="eastAsia" w:asciiTheme="minorEastAsia" w:hAnsiTheme="minorEastAsia"/>
          <w:sz w:val="32"/>
          <w:szCs w:val="32"/>
        </w:rPr>
        <w:t>指单位为完成特定的行政工作任务或事业发展目标，在基本支出之外发生的各项支出。</w:t>
      </w:r>
    </w:p>
    <w:p w14:paraId="2EAFFE7E">
      <w:pPr>
        <w:rPr>
          <w:b/>
          <w:sz w:val="36"/>
          <w:szCs w:val="36"/>
        </w:rPr>
      </w:pPr>
      <w:r>
        <w:rPr>
          <w:rFonts w:hint="eastAsia"/>
          <w:b/>
          <w:sz w:val="36"/>
          <w:szCs w:val="36"/>
        </w:rPr>
        <w:t>十、 基本建设支出</w:t>
      </w:r>
    </w:p>
    <w:p w14:paraId="3D0461F8">
      <w:pPr>
        <w:ind w:firstLine="640" w:firstLineChars="200"/>
        <w:rPr>
          <w:rFonts w:asciiTheme="minorEastAsia" w:hAnsiTheme="minorEastAsia"/>
          <w:sz w:val="32"/>
          <w:szCs w:val="32"/>
        </w:rPr>
      </w:pPr>
      <w:r>
        <w:rPr>
          <w:rFonts w:hint="eastAsia" w:asciiTheme="minorEastAsia" w:hAnsiTheme="minorEastAsia"/>
          <w:sz w:val="32"/>
          <w:szCs w:val="32"/>
        </w:rPr>
        <w:t>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0488A2A3">
      <w:pPr>
        <w:rPr>
          <w:b/>
          <w:sz w:val="36"/>
          <w:szCs w:val="36"/>
        </w:rPr>
      </w:pPr>
      <w:r>
        <w:rPr>
          <w:rFonts w:hint="eastAsia"/>
          <w:b/>
          <w:sz w:val="36"/>
          <w:szCs w:val="36"/>
        </w:rPr>
        <w:t>十一、 其他资本性支出</w:t>
      </w:r>
    </w:p>
    <w:p w14:paraId="702331F4">
      <w:pPr>
        <w:ind w:firstLine="640" w:firstLineChars="200"/>
        <w:rPr>
          <w:rFonts w:asciiTheme="minorEastAsia" w:hAnsiTheme="minorEastAsia"/>
          <w:sz w:val="32"/>
          <w:szCs w:val="32"/>
        </w:rPr>
      </w:pPr>
      <w:r>
        <w:rPr>
          <w:rFonts w:hint="eastAsia" w:asciiTheme="minorEastAsia" w:hAnsiTheme="minorEastAsia"/>
          <w:sz w:val="32"/>
          <w:szCs w:val="32"/>
        </w:rPr>
        <w:t>由各级非发展与改革部门集中安排的用于购置固定资产、战备性和应急性储备、土地和无形资产，以及购建基础设施、大型修缮和财政支持企业更新改造所发生的支出。</w:t>
      </w:r>
    </w:p>
    <w:p w14:paraId="35691814">
      <w:pPr>
        <w:rPr>
          <w:b/>
          <w:sz w:val="36"/>
          <w:szCs w:val="36"/>
        </w:rPr>
      </w:pPr>
      <w:r>
        <w:rPr>
          <w:rFonts w:hint="eastAsia"/>
          <w:b/>
          <w:sz w:val="36"/>
          <w:szCs w:val="36"/>
        </w:rPr>
        <w:t>十二、 “ 三公” 经费</w:t>
      </w:r>
    </w:p>
    <w:p w14:paraId="319DBC1C">
      <w:pPr>
        <w:ind w:firstLine="640" w:firstLineChars="200"/>
        <w:rPr>
          <w:rFonts w:asciiTheme="minorEastAsia" w:hAnsiTheme="minorEastAsia"/>
          <w:sz w:val="32"/>
          <w:szCs w:val="32"/>
        </w:rPr>
      </w:pPr>
      <w:r>
        <w:rPr>
          <w:rFonts w:hint="eastAsia" w:asciiTheme="minorEastAsia" w:hAnsiTheme="minorEastAsia"/>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14:paraId="0F5A1B04">
      <w:pPr>
        <w:rPr>
          <w:b/>
          <w:sz w:val="36"/>
          <w:szCs w:val="36"/>
        </w:rPr>
      </w:pPr>
      <w:r>
        <w:rPr>
          <w:rFonts w:hint="eastAsia"/>
          <w:b/>
          <w:sz w:val="36"/>
          <w:szCs w:val="36"/>
        </w:rPr>
        <w:t>十三、 其他交通费用</w:t>
      </w:r>
    </w:p>
    <w:p w14:paraId="37BB9551">
      <w:pPr>
        <w:ind w:firstLine="640" w:firstLineChars="200"/>
        <w:rPr>
          <w:rFonts w:asciiTheme="minorEastAsia" w:hAnsiTheme="minorEastAsia"/>
          <w:sz w:val="32"/>
          <w:szCs w:val="32"/>
        </w:rPr>
      </w:pPr>
      <w:r>
        <w:rPr>
          <w:rFonts w:hint="eastAsia" w:asciiTheme="minorEastAsia" w:hAnsiTheme="minorEastAsia"/>
          <w:sz w:val="32"/>
          <w:szCs w:val="32"/>
        </w:rPr>
        <w:t>指单位除公务用车运行维护费以外的其他交通费用。如飞机、船舶等的燃料费、维修费、过桥过路费、保险费、出租车费用、公务交通补贴等。</w:t>
      </w:r>
    </w:p>
    <w:p w14:paraId="23BA450D">
      <w:pPr>
        <w:rPr>
          <w:b/>
          <w:sz w:val="36"/>
          <w:szCs w:val="36"/>
        </w:rPr>
      </w:pPr>
      <w:r>
        <w:rPr>
          <w:rFonts w:hint="eastAsia"/>
          <w:b/>
          <w:sz w:val="36"/>
          <w:szCs w:val="36"/>
        </w:rPr>
        <w:t>十四、 公务用车购置</w:t>
      </w:r>
    </w:p>
    <w:p w14:paraId="616366B6">
      <w:pPr>
        <w:ind w:firstLine="640" w:firstLineChars="200"/>
        <w:rPr>
          <w:rFonts w:asciiTheme="minorEastAsia" w:hAnsiTheme="minorEastAsia"/>
          <w:sz w:val="32"/>
          <w:szCs w:val="32"/>
        </w:rPr>
      </w:pPr>
      <w:r>
        <w:rPr>
          <w:rFonts w:hint="eastAsia" w:asciiTheme="minorEastAsia" w:hAnsiTheme="minorEastAsia"/>
          <w:sz w:val="32"/>
          <w:szCs w:val="32"/>
        </w:rPr>
        <w:t>指单位公务用车车辆购置支出（含车辆购置税）。</w:t>
      </w:r>
    </w:p>
    <w:p w14:paraId="70B6B5BF">
      <w:pPr>
        <w:rPr>
          <w:b/>
          <w:sz w:val="36"/>
          <w:szCs w:val="36"/>
        </w:rPr>
      </w:pPr>
      <w:r>
        <w:rPr>
          <w:rFonts w:hint="eastAsia"/>
          <w:b/>
          <w:sz w:val="36"/>
          <w:szCs w:val="36"/>
        </w:rPr>
        <w:t>十五、 其他交通工具购置</w:t>
      </w:r>
    </w:p>
    <w:p w14:paraId="209DAA56">
      <w:pPr>
        <w:ind w:firstLine="640" w:firstLineChars="200"/>
        <w:rPr>
          <w:rFonts w:asciiTheme="minorEastAsia" w:hAnsiTheme="minorEastAsia"/>
          <w:sz w:val="32"/>
          <w:szCs w:val="32"/>
        </w:rPr>
      </w:pPr>
      <w:r>
        <w:rPr>
          <w:rFonts w:hint="eastAsia" w:asciiTheme="minorEastAsia" w:hAnsiTheme="minorEastAsia"/>
          <w:sz w:val="32"/>
          <w:szCs w:val="32"/>
        </w:rPr>
        <w:t>单位除公务用车外的其他各类交通工具（ 如船舶、 飞机）购置支出（含车辆购置税）。</w:t>
      </w:r>
    </w:p>
    <w:p w14:paraId="0EBB373B">
      <w:pPr>
        <w:rPr>
          <w:b/>
          <w:sz w:val="36"/>
          <w:szCs w:val="36"/>
        </w:rPr>
      </w:pPr>
      <w:r>
        <w:rPr>
          <w:rFonts w:hint="eastAsia"/>
          <w:b/>
          <w:sz w:val="36"/>
          <w:szCs w:val="36"/>
        </w:rPr>
        <w:t>十六、 机关运行经费</w:t>
      </w:r>
    </w:p>
    <w:p w14:paraId="3645C6B0">
      <w:pPr>
        <w:ind w:firstLine="640" w:firstLineChars="200"/>
        <w:rPr>
          <w:rFonts w:asciiTheme="minorEastAsia" w:hAnsiTheme="minorEastAsia"/>
          <w:sz w:val="32"/>
          <w:szCs w:val="32"/>
        </w:rPr>
      </w:pPr>
      <w:r>
        <w:rPr>
          <w:rFonts w:hint="eastAsia" w:asciiTheme="minorEastAsia" w:hAnsiTheme="minorEastAsia"/>
          <w:sz w:val="32"/>
          <w:szCs w:val="32"/>
        </w:rPr>
        <w:t>指为保障行政单位（ 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279A9A78">
      <w:pPr>
        <w:ind w:firstLine="640" w:firstLineChars="200"/>
        <w:rPr>
          <w:rFonts w:asciiTheme="minorEastAsia" w:hAnsiTheme="minorEastAsia"/>
          <w:sz w:val="32"/>
          <w:szCs w:val="32"/>
        </w:rPr>
      </w:pPr>
    </w:p>
    <w:p w14:paraId="23AD1608"/>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inherit ??">
    <w:altName w:val="Times New Roman"/>
    <w:panose1 w:val="00000000000000000000"/>
    <w:charset w:val="00"/>
    <w:family w:val="roman"/>
    <w:pitch w:val="default"/>
    <w:sig w:usb0="00000000" w:usb1="00000000" w:usb2="00000000"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6EA2706F"/>
    <w:rsid w:val="000057DD"/>
    <w:rsid w:val="0001263B"/>
    <w:rsid w:val="001C2223"/>
    <w:rsid w:val="0021176F"/>
    <w:rsid w:val="00217333"/>
    <w:rsid w:val="002358D5"/>
    <w:rsid w:val="00292443"/>
    <w:rsid w:val="002A1895"/>
    <w:rsid w:val="002B786E"/>
    <w:rsid w:val="002F4415"/>
    <w:rsid w:val="00345CFD"/>
    <w:rsid w:val="003547B6"/>
    <w:rsid w:val="00357B02"/>
    <w:rsid w:val="00423873"/>
    <w:rsid w:val="00445E5D"/>
    <w:rsid w:val="0046702D"/>
    <w:rsid w:val="00470256"/>
    <w:rsid w:val="00644C5E"/>
    <w:rsid w:val="0064784A"/>
    <w:rsid w:val="00683086"/>
    <w:rsid w:val="006A773C"/>
    <w:rsid w:val="006F6D02"/>
    <w:rsid w:val="00724209"/>
    <w:rsid w:val="007357D4"/>
    <w:rsid w:val="00745415"/>
    <w:rsid w:val="007855AE"/>
    <w:rsid w:val="007C098B"/>
    <w:rsid w:val="007F428E"/>
    <w:rsid w:val="0082085A"/>
    <w:rsid w:val="00854E36"/>
    <w:rsid w:val="00A00515"/>
    <w:rsid w:val="00A0172C"/>
    <w:rsid w:val="00AD10FF"/>
    <w:rsid w:val="00AD753C"/>
    <w:rsid w:val="00AF0532"/>
    <w:rsid w:val="00B749D5"/>
    <w:rsid w:val="00BA6D2A"/>
    <w:rsid w:val="00BE3184"/>
    <w:rsid w:val="00C44806"/>
    <w:rsid w:val="00D57C8F"/>
    <w:rsid w:val="00D830DC"/>
    <w:rsid w:val="00DA4645"/>
    <w:rsid w:val="00DB0FCF"/>
    <w:rsid w:val="00FC4846"/>
    <w:rsid w:val="09F02E3F"/>
    <w:rsid w:val="1E854563"/>
    <w:rsid w:val="3A217893"/>
    <w:rsid w:val="49A50B5A"/>
    <w:rsid w:val="49C47CC2"/>
    <w:rsid w:val="4C5F1A6C"/>
    <w:rsid w:val="4FAF668E"/>
    <w:rsid w:val="5F0A3530"/>
    <w:rsid w:val="606829C6"/>
    <w:rsid w:val="67991291"/>
    <w:rsid w:val="6C795770"/>
    <w:rsid w:val="6C831F3D"/>
    <w:rsid w:val="6D535020"/>
    <w:rsid w:val="6DE24127"/>
    <w:rsid w:val="6EA2706F"/>
    <w:rsid w:val="7187149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0"/>
    <w:qFormat/>
    <w:uiPriority w:val="0"/>
    <w:pPr>
      <w:tabs>
        <w:tab w:val="center" w:pos="4153"/>
        <w:tab w:val="right" w:pos="8306"/>
      </w:tabs>
      <w:snapToGrid w:val="0"/>
      <w:jc w:val="left"/>
    </w:pPr>
    <w:rPr>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8">
    <w:name w:val="普通(网站)1"/>
    <w:basedOn w:val="1"/>
    <w:qFormat/>
    <w:uiPriority w:val="0"/>
    <w:pPr>
      <w:widowControl/>
      <w:spacing w:after="150"/>
      <w:jc w:val="left"/>
    </w:pPr>
    <w:rPr>
      <w:rFonts w:ascii="inherit ??" w:hAnsi="inherit ??" w:eastAsia="inherit ??"/>
      <w:kern w:val="0"/>
      <w:sz w:val="24"/>
      <w:szCs w:val="20"/>
      <w:lang w:eastAsia="en-US"/>
    </w:rPr>
  </w:style>
  <w:style w:type="character" w:customStyle="1" w:styleId="9">
    <w:name w:val="页眉 Char"/>
    <w:basedOn w:val="7"/>
    <w:link w:val="4"/>
    <w:uiPriority w:val="0"/>
    <w:rPr>
      <w:rFonts w:asciiTheme="minorHAnsi" w:hAnsiTheme="minorHAnsi" w:eastAsiaTheme="minorEastAsia" w:cstheme="minorBidi"/>
      <w:kern w:val="2"/>
      <w:sz w:val="18"/>
      <w:szCs w:val="18"/>
    </w:rPr>
  </w:style>
  <w:style w:type="character" w:customStyle="1" w:styleId="10">
    <w:name w:val="页脚 Char"/>
    <w:basedOn w:val="7"/>
    <w:link w:val="3"/>
    <w:qFormat/>
    <w:uiPriority w:val="0"/>
    <w:rPr>
      <w:rFonts w:asciiTheme="minorHAnsi" w:hAnsiTheme="minorHAnsi" w:eastAsiaTheme="minorEastAsia" w:cstheme="minorBidi"/>
      <w:kern w:val="2"/>
      <w:sz w:val="18"/>
      <w:szCs w:val="18"/>
    </w:rPr>
  </w:style>
  <w:style w:type="paragraph" w:styleId="1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hart" Target="charts/chart2.xml"/><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ianxiang\AppData\Roaming\Kingsoft\wps\addons\pool\win-i386\knewfileruby_1.0.0.11\template\wps\0.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[Book1]Sheet1!$A$3</c:f>
              <c:strCache>
                <c:ptCount val="1"/>
                <c:pt idx="0">
                  <c:v>财政收入</c:v>
                </c:pt>
              </c:strCache>
            </c:strRef>
          </c:tx>
          <c:spPr/>
          <c:explosion val="0"/>
          <c:dPt>
            <c:idx val="0"/>
            <c:bubble3D val="0"/>
            <c:spPr>
              <a:solidFill>
                <a:schemeClr val="accent1"/>
              </a:solidFill>
              <a:ln w="19050">
                <a:solidFill>
                  <a:schemeClr val="lt1"/>
                </a:solidFill>
              </a:ln>
              <a:effectLst/>
            </c:spPr>
          </c:dPt>
          <c:dLbls>
            <c:delete val="1"/>
          </c:dLbls>
          <c:cat>
            <c:strRef>
              <c:f>[Book1]Sheet1!$B$2</c:f>
              <c:strCache>
                <c:ptCount val="1"/>
                <c:pt idx="0">
                  <c:v>决算收入</c:v>
                </c:pt>
              </c:strCache>
            </c:strRef>
          </c:cat>
          <c:val>
            <c:numRef>
              <c:f>[Book1]Sheet1!$B$3</c:f>
              <c:numCache>
                <c:formatCode>0%</c:formatCode>
                <c:ptCount val="1"/>
                <c:pt idx="0">
                  <c:v>1</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elete val="1"/>
          </c:dLbls>
          <c:cat>
            <c:strRef>
              <c:f>[Book1]Sheet1!$A$1:$A$2</c:f>
              <c:strCache>
                <c:ptCount val="2"/>
                <c:pt idx="0">
                  <c:v>基本支出</c:v>
                </c:pt>
                <c:pt idx="1">
                  <c:v>项目支出</c:v>
                </c:pt>
              </c:strCache>
            </c:strRef>
          </c:cat>
          <c:val>
            <c:numRef>
              <c:f>[Book1]Sheet1!$B$1:$B$2</c:f>
              <c:numCache>
                <c:formatCode>General</c:formatCode>
                <c:ptCount val="2"/>
                <c:pt idx="0">
                  <c:v>6853.26</c:v>
                </c:pt>
                <c:pt idx="1">
                  <c:v>4659.25</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0.docx</Template>
  <Company>石家庄市藁城区</Company>
  <Pages>16</Pages>
  <Words>5202</Words>
  <Characters>5840</Characters>
  <Lines>7</Lines>
  <Paragraphs>11</Paragraphs>
  <TotalTime>15</TotalTime>
  <ScaleCrop>false</ScaleCrop>
  <LinksUpToDate>false</LinksUpToDate>
  <CharactersWithSpaces>5971</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2018-10-10T01:27:00Z</dcterms:created>
  <dc:creator>张静</dc:creator>
  <cp:lastModifiedBy> </cp:lastModifiedBy>
  <dcterms:modified xsi:type="dcterms:W3CDTF">2024-08-09T03:37:02Z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11BBC9D29F5F48F8A93A19008B804E2E_12</vt:lpwstr>
  </property>
</Properties>
</file>