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DA91EE">
      <w:pPr>
        <w:pStyle w:val="2"/>
        <w:jc w:val="center"/>
        <w:rPr>
          <w:rFonts w:ascii="黑体" w:hAnsi="黑体" w:eastAsia="黑体" w:cs="黑体"/>
        </w:rPr>
      </w:pPr>
    </w:p>
    <w:p w14:paraId="1FBBF54C">
      <w:pPr>
        <w:pStyle w:val="2"/>
        <w:jc w:val="center"/>
        <w:rPr>
          <w:rFonts w:ascii="黑体" w:hAnsi="黑体" w:eastAsia="黑体" w:cs="黑体"/>
          <w:sz w:val="52"/>
          <w:szCs w:val="52"/>
        </w:rPr>
      </w:pPr>
      <w:r>
        <w:rPr>
          <w:rFonts w:hint="eastAsia" w:ascii="黑体" w:hAnsi="黑体" w:eastAsia="黑体" w:cs="黑体"/>
          <w:sz w:val="52"/>
          <w:szCs w:val="52"/>
        </w:rPr>
        <w:t>2017年度部门决算公开</w:t>
      </w:r>
    </w:p>
    <w:p w14:paraId="320101CF"/>
    <w:p w14:paraId="1E06E67A"/>
    <w:p w14:paraId="703B9D07"/>
    <w:p w14:paraId="79A1672C"/>
    <w:p w14:paraId="693218B5"/>
    <w:p w14:paraId="4B18935D"/>
    <w:p w14:paraId="0C135596"/>
    <w:p w14:paraId="0307D150"/>
    <w:p w14:paraId="391160AF"/>
    <w:p w14:paraId="1B18374E"/>
    <w:p w14:paraId="61C7185A"/>
    <w:p w14:paraId="686A5BE9"/>
    <w:p w14:paraId="68A163B4"/>
    <w:p w14:paraId="30949DFE">
      <w:pPr>
        <w:jc w:val="center"/>
        <w:rPr>
          <w:rFonts w:ascii="黑体" w:hAnsi="黑体" w:eastAsia="黑体" w:cs="黑体"/>
          <w:sz w:val="32"/>
          <w:szCs w:val="32"/>
        </w:rPr>
      </w:pPr>
    </w:p>
    <w:p w14:paraId="4B5E2603">
      <w:pPr>
        <w:jc w:val="center"/>
        <w:rPr>
          <w:rFonts w:ascii="黑体" w:hAnsi="黑体" w:eastAsia="黑体" w:cs="黑体"/>
          <w:sz w:val="32"/>
          <w:szCs w:val="32"/>
        </w:rPr>
      </w:pPr>
    </w:p>
    <w:p w14:paraId="4718C4DC">
      <w:pPr>
        <w:jc w:val="center"/>
        <w:rPr>
          <w:rFonts w:ascii="黑体" w:hAnsi="黑体" w:eastAsia="黑体" w:cs="黑体"/>
          <w:sz w:val="32"/>
          <w:szCs w:val="32"/>
        </w:rPr>
      </w:pPr>
    </w:p>
    <w:p w14:paraId="3D240E99">
      <w:pPr>
        <w:jc w:val="center"/>
        <w:rPr>
          <w:rFonts w:ascii="黑体" w:hAnsi="黑体" w:eastAsia="黑体" w:cs="黑体"/>
          <w:sz w:val="32"/>
          <w:szCs w:val="32"/>
        </w:rPr>
      </w:pPr>
    </w:p>
    <w:p w14:paraId="196F7C6C">
      <w:pPr>
        <w:jc w:val="center"/>
        <w:rPr>
          <w:rFonts w:ascii="黑体" w:hAnsi="黑体" w:eastAsia="黑体" w:cs="黑体"/>
          <w:sz w:val="32"/>
          <w:szCs w:val="32"/>
        </w:rPr>
      </w:pPr>
    </w:p>
    <w:p w14:paraId="07C57404">
      <w:pPr>
        <w:jc w:val="center"/>
        <w:rPr>
          <w:rFonts w:ascii="黑体" w:hAnsi="黑体" w:eastAsia="黑体" w:cs="黑体"/>
          <w:sz w:val="32"/>
          <w:szCs w:val="32"/>
        </w:rPr>
      </w:pPr>
    </w:p>
    <w:p w14:paraId="1D2E092A">
      <w:pPr>
        <w:jc w:val="center"/>
        <w:rPr>
          <w:rFonts w:ascii="黑体" w:hAnsi="黑体" w:eastAsia="黑体" w:cs="黑体"/>
          <w:sz w:val="32"/>
          <w:szCs w:val="32"/>
        </w:rPr>
      </w:pPr>
    </w:p>
    <w:p w14:paraId="12220183">
      <w:pPr>
        <w:jc w:val="center"/>
        <w:rPr>
          <w:rFonts w:ascii="黑体" w:hAnsi="黑体" w:eastAsia="黑体" w:cs="黑体"/>
          <w:sz w:val="36"/>
          <w:szCs w:val="36"/>
        </w:rPr>
      </w:pPr>
      <w:r>
        <w:rPr>
          <w:rFonts w:hint="eastAsia" w:ascii="黑体" w:hAnsi="黑体" w:eastAsia="黑体" w:cs="黑体"/>
          <w:sz w:val="36"/>
          <w:szCs w:val="36"/>
        </w:rPr>
        <w:t>石家庄市藁城区藁城报社</w:t>
      </w:r>
    </w:p>
    <w:p w14:paraId="1FF02DC8">
      <w:pPr>
        <w:jc w:val="center"/>
        <w:rPr>
          <w:rFonts w:ascii="黑体" w:hAnsi="黑体" w:eastAsia="黑体" w:cs="黑体"/>
          <w:sz w:val="36"/>
          <w:szCs w:val="36"/>
        </w:rPr>
      </w:pPr>
    </w:p>
    <w:p w14:paraId="0B999AC7">
      <w:pPr>
        <w:pStyle w:val="2"/>
        <w:jc w:val="center"/>
        <w:rPr>
          <w:b w:val="0"/>
          <w:bCs w:val="0"/>
        </w:rPr>
      </w:pPr>
      <w:r>
        <w:rPr>
          <w:rFonts w:hint="eastAsia" w:ascii="黑体" w:hAnsi="黑体" w:eastAsia="黑体" w:cs="黑体"/>
          <w:sz w:val="36"/>
          <w:szCs w:val="36"/>
        </w:rPr>
        <w:t>2018年10月1</w:t>
      </w:r>
      <w:r>
        <w:rPr>
          <w:rFonts w:ascii="黑体" w:hAnsi="黑体" w:eastAsia="黑体" w:cs="黑体"/>
          <w:sz w:val="36"/>
          <w:szCs w:val="36"/>
        </w:rPr>
        <w:t>2</w:t>
      </w:r>
      <w:r>
        <w:rPr>
          <w:rFonts w:hint="eastAsia" w:ascii="黑体" w:hAnsi="黑体" w:eastAsia="黑体" w:cs="黑体"/>
          <w:sz w:val="36"/>
          <w:szCs w:val="36"/>
        </w:rPr>
        <w:t>日</w:t>
      </w:r>
      <w:r>
        <w:br w:type="page"/>
      </w:r>
    </w:p>
    <w:p w14:paraId="2F51F01A">
      <w:pPr>
        <w:pStyle w:val="2"/>
        <w:jc w:val="center"/>
        <w:rPr>
          <w:rFonts w:asciiTheme="minorEastAsia" w:hAnsiTheme="minorEastAsia"/>
          <w:b w:val="0"/>
        </w:rPr>
      </w:pPr>
      <w:r>
        <w:rPr>
          <w:rFonts w:hint="eastAsia"/>
        </w:rPr>
        <w:t>部门决算</w:t>
      </w:r>
      <w:r>
        <w:t>公开目录</w:t>
      </w:r>
    </w:p>
    <w:p w14:paraId="6B823ED4">
      <w:pPr>
        <w:rPr>
          <w:rFonts w:asciiTheme="minorEastAsia" w:hAnsiTheme="minorEastAsia"/>
          <w:b/>
          <w:sz w:val="36"/>
          <w:szCs w:val="36"/>
        </w:rPr>
      </w:pPr>
      <w:r>
        <w:rPr>
          <w:rFonts w:hint="eastAsia" w:asciiTheme="minorEastAsia" w:hAnsiTheme="minorEastAsia"/>
          <w:b/>
          <w:sz w:val="36"/>
          <w:szCs w:val="36"/>
        </w:rPr>
        <w:t>第一部分 部门概况</w:t>
      </w:r>
    </w:p>
    <w:p w14:paraId="29DB758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78CAC31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7A49A412">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1AFA467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130FCBD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40EBDE8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71AA6A6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0FBE6BF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437B03A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7EDB1AC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4FC6340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2C96404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309A5A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6708281D">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4A0AFB7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4060CCB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23C803F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56814CE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4959FB5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7D89C70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21F3455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65AA3956">
      <w:pPr>
        <w:spacing w:line="360" w:lineRule="auto"/>
        <w:ind w:firstLine="1500" w:firstLineChars="500"/>
        <w:rPr>
          <w:sz w:val="30"/>
          <w:szCs w:val="30"/>
        </w:rPr>
      </w:pPr>
      <w:r>
        <w:rPr>
          <w:rFonts w:hint="eastAsia"/>
          <w:sz w:val="30"/>
          <w:szCs w:val="30"/>
        </w:rPr>
        <w:t>1、 机关运行经费情况</w:t>
      </w:r>
    </w:p>
    <w:p w14:paraId="42E23E85">
      <w:pPr>
        <w:spacing w:line="360" w:lineRule="auto"/>
        <w:ind w:firstLine="1500" w:firstLineChars="500"/>
        <w:rPr>
          <w:sz w:val="30"/>
          <w:szCs w:val="30"/>
        </w:rPr>
      </w:pPr>
      <w:r>
        <w:rPr>
          <w:rFonts w:hint="eastAsia"/>
          <w:sz w:val="30"/>
          <w:szCs w:val="30"/>
        </w:rPr>
        <w:t>2、 政府采购情况</w:t>
      </w:r>
    </w:p>
    <w:p w14:paraId="1CD4970D">
      <w:pPr>
        <w:spacing w:line="360" w:lineRule="auto"/>
        <w:ind w:firstLine="1500" w:firstLineChars="500"/>
        <w:rPr>
          <w:sz w:val="30"/>
          <w:szCs w:val="30"/>
        </w:rPr>
      </w:pPr>
      <w:r>
        <w:rPr>
          <w:rFonts w:hint="eastAsia"/>
          <w:sz w:val="30"/>
          <w:szCs w:val="30"/>
        </w:rPr>
        <w:t>3、国有资产占用情况</w:t>
      </w:r>
    </w:p>
    <w:p w14:paraId="0FFFE0CC">
      <w:pPr>
        <w:rPr>
          <w:rFonts w:asciiTheme="minorEastAsia" w:hAnsiTheme="minorEastAsia"/>
          <w:b/>
          <w:sz w:val="36"/>
          <w:szCs w:val="36"/>
        </w:rPr>
      </w:pPr>
      <w:r>
        <w:rPr>
          <w:rFonts w:hint="eastAsia" w:asciiTheme="minorEastAsia" w:hAnsiTheme="minorEastAsia"/>
          <w:b/>
          <w:sz w:val="36"/>
          <w:szCs w:val="36"/>
        </w:rPr>
        <w:t>第四部分 名词解释</w:t>
      </w:r>
    </w:p>
    <w:p w14:paraId="54127A1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3662C0D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7B081A3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6652A90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7CADB9B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73E4128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3F2A04D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5603C83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2739E3E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3BAAA32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37AFA7F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09DF115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176C28E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175D782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3718F2B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15815D7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103BCE00">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石家庄市藁城区藁城报社</w:t>
      </w:r>
    </w:p>
    <w:p w14:paraId="0D939085">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2017年部门决算公开信息</w:t>
      </w:r>
    </w:p>
    <w:p w14:paraId="5C663C05">
      <w:pPr>
        <w:spacing w:beforeLines="100" w:afterLines="100" w:line="360" w:lineRule="auto"/>
        <w:ind w:firstLine="2209" w:firstLineChars="500"/>
        <w:rPr>
          <w:rFonts w:ascii="宋体" w:hAnsi="宋体" w:eastAsia="宋体"/>
          <w:b/>
          <w:sz w:val="44"/>
          <w:szCs w:val="44"/>
        </w:rPr>
      </w:pPr>
      <w:r>
        <w:rPr>
          <w:rFonts w:hint="eastAsia" w:ascii="宋体" w:hAnsi="宋体" w:eastAsia="宋体"/>
          <w:b/>
          <w:sz w:val="44"/>
          <w:szCs w:val="44"/>
        </w:rPr>
        <w:t>第一部分 部门概况</w:t>
      </w:r>
    </w:p>
    <w:p w14:paraId="1800107F">
      <w:pPr>
        <w:rPr>
          <w:b/>
          <w:sz w:val="36"/>
          <w:szCs w:val="36"/>
        </w:rPr>
      </w:pPr>
      <w:r>
        <w:rPr>
          <w:rFonts w:hint="eastAsia"/>
          <w:b/>
          <w:sz w:val="36"/>
          <w:szCs w:val="36"/>
        </w:rPr>
        <w:t>一、 部门职责</w:t>
      </w:r>
    </w:p>
    <w:p w14:paraId="38DCDE74">
      <w:pPr>
        <w:ind w:firstLine="640"/>
        <w:rPr>
          <w:rFonts w:asciiTheme="minorEastAsia" w:hAnsiTheme="minorEastAsia"/>
          <w:sz w:val="32"/>
          <w:szCs w:val="32"/>
        </w:rPr>
      </w:pPr>
      <w:r>
        <w:rPr>
          <w:rFonts w:hint="eastAsia" w:cs="宋体" w:asciiTheme="minorEastAsia" w:hAnsiTheme="minorEastAsia"/>
          <w:color w:val="000000"/>
          <w:sz w:val="32"/>
          <w:szCs w:val="32"/>
          <w:shd w:val="clear" w:color="auto" w:fill="FFFFFF"/>
        </w:rPr>
        <w:t>（一）</w:t>
      </w:r>
      <w:bookmarkStart w:id="0" w:name="_Toc441517130"/>
      <w:r>
        <w:rPr>
          <w:rFonts w:hint="eastAsia" w:asciiTheme="minorEastAsia" w:hAnsiTheme="minorEastAsia"/>
          <w:sz w:val="32"/>
          <w:szCs w:val="32"/>
        </w:rPr>
        <w:t>按</w:t>
      </w:r>
      <w:r>
        <w:rPr>
          <w:rFonts w:hint="eastAsia" w:cs="宋体" w:asciiTheme="minorEastAsia" w:hAnsiTheme="minorEastAsia"/>
          <w:sz w:val="32"/>
          <w:szCs w:val="32"/>
        </w:rPr>
        <w:t>区</w:t>
      </w:r>
      <w:r>
        <w:rPr>
          <w:rFonts w:hint="eastAsia" w:cs="Batang" w:asciiTheme="minorEastAsia" w:hAnsiTheme="minorEastAsia"/>
          <w:sz w:val="32"/>
          <w:szCs w:val="32"/>
        </w:rPr>
        <w:t>委、</w:t>
      </w:r>
      <w:r>
        <w:rPr>
          <w:rFonts w:hint="eastAsia" w:cs="宋体" w:asciiTheme="minorEastAsia" w:hAnsiTheme="minorEastAsia"/>
          <w:sz w:val="32"/>
          <w:szCs w:val="32"/>
        </w:rPr>
        <w:t>区</w:t>
      </w:r>
      <w:r>
        <w:rPr>
          <w:rFonts w:hint="eastAsia" w:cs="Batang" w:asciiTheme="minorEastAsia" w:hAnsiTheme="minorEastAsia"/>
          <w:sz w:val="32"/>
          <w:szCs w:val="32"/>
        </w:rPr>
        <w:t>政府的宣</w:t>
      </w:r>
      <w:r>
        <w:rPr>
          <w:rFonts w:hint="eastAsia" w:cs="宋体" w:asciiTheme="minorEastAsia" w:hAnsiTheme="minorEastAsia"/>
          <w:sz w:val="32"/>
          <w:szCs w:val="32"/>
        </w:rPr>
        <w:t>传</w:t>
      </w:r>
      <w:r>
        <w:rPr>
          <w:rFonts w:hint="eastAsia" w:cs="Batang" w:asciiTheme="minorEastAsia" w:hAnsiTheme="minorEastAsia"/>
          <w:sz w:val="32"/>
          <w:szCs w:val="32"/>
        </w:rPr>
        <w:t>要求，</w:t>
      </w:r>
      <w:r>
        <w:rPr>
          <w:rFonts w:hint="eastAsia" w:cs="宋体" w:asciiTheme="minorEastAsia" w:hAnsiTheme="minorEastAsia"/>
          <w:sz w:val="32"/>
          <w:szCs w:val="32"/>
        </w:rPr>
        <w:t>严</w:t>
      </w:r>
      <w:r>
        <w:rPr>
          <w:rFonts w:hint="eastAsia" w:cs="Batang" w:asciiTheme="minorEastAsia" w:hAnsiTheme="minorEastAsia"/>
          <w:sz w:val="32"/>
          <w:szCs w:val="32"/>
        </w:rPr>
        <w:t>格落</w:t>
      </w:r>
      <w:r>
        <w:rPr>
          <w:rFonts w:hint="eastAsia" w:cs="宋体" w:asciiTheme="minorEastAsia" w:hAnsiTheme="minorEastAsia"/>
          <w:sz w:val="32"/>
          <w:szCs w:val="32"/>
        </w:rPr>
        <w:t>实</w:t>
      </w:r>
      <w:r>
        <w:rPr>
          <w:rFonts w:hint="eastAsia" w:cs="Batang" w:asciiTheme="minorEastAsia" w:hAnsiTheme="minorEastAsia"/>
          <w:sz w:val="32"/>
          <w:szCs w:val="32"/>
        </w:rPr>
        <w:t>到位，做好党和政府的耳、目、喉、舌。</w:t>
      </w:r>
      <w:r>
        <w:rPr>
          <w:rFonts w:hint="eastAsia" w:cs="宋体" w:asciiTheme="minorEastAsia" w:hAnsiTheme="minorEastAsia"/>
          <w:sz w:val="32"/>
          <w:szCs w:val="32"/>
        </w:rPr>
        <w:t>为</w:t>
      </w:r>
      <w:r>
        <w:rPr>
          <w:rFonts w:hint="eastAsia" w:cs="Batang" w:asciiTheme="minorEastAsia" w:hAnsiTheme="minorEastAsia"/>
          <w:sz w:val="32"/>
          <w:szCs w:val="32"/>
        </w:rPr>
        <w:t>社</w:t>
      </w:r>
      <w:r>
        <w:rPr>
          <w:rFonts w:hint="eastAsia" w:cs="宋体" w:asciiTheme="minorEastAsia" w:hAnsiTheme="minorEastAsia"/>
          <w:sz w:val="32"/>
          <w:szCs w:val="32"/>
        </w:rPr>
        <w:t>会</w:t>
      </w:r>
      <w:r>
        <w:rPr>
          <w:rFonts w:hint="eastAsia" w:cs="Batang" w:asciiTheme="minorEastAsia" w:hAnsiTheme="minorEastAsia"/>
          <w:sz w:val="32"/>
          <w:szCs w:val="32"/>
        </w:rPr>
        <w:t>各界和广大人民群</w:t>
      </w:r>
      <w:r>
        <w:rPr>
          <w:rFonts w:hint="eastAsia" w:cs="宋体" w:asciiTheme="minorEastAsia" w:hAnsiTheme="minorEastAsia"/>
          <w:sz w:val="32"/>
          <w:szCs w:val="32"/>
        </w:rPr>
        <w:t>众</w:t>
      </w:r>
      <w:r>
        <w:rPr>
          <w:rFonts w:hint="eastAsia" w:cs="Batang" w:asciiTheme="minorEastAsia" w:hAnsiTheme="minorEastAsia"/>
          <w:sz w:val="32"/>
          <w:szCs w:val="32"/>
        </w:rPr>
        <w:t>提供丰富多彩的信息</w:t>
      </w:r>
      <w:r>
        <w:rPr>
          <w:rFonts w:hint="eastAsia" w:cs="宋体" w:asciiTheme="minorEastAsia" w:hAnsiTheme="minorEastAsia"/>
          <w:sz w:val="32"/>
          <w:szCs w:val="32"/>
        </w:rPr>
        <w:t>资讯</w:t>
      </w:r>
      <w:r>
        <w:rPr>
          <w:rFonts w:hint="eastAsia" w:cs="Batang" w:asciiTheme="minorEastAsia" w:hAnsiTheme="minorEastAsia"/>
          <w:sz w:val="32"/>
          <w:szCs w:val="32"/>
        </w:rPr>
        <w:t>和生活服</w:t>
      </w:r>
      <w:r>
        <w:rPr>
          <w:rFonts w:hint="eastAsia" w:cs="宋体" w:asciiTheme="minorEastAsia" w:hAnsiTheme="minorEastAsia"/>
          <w:sz w:val="32"/>
          <w:szCs w:val="32"/>
        </w:rPr>
        <w:t>务</w:t>
      </w:r>
      <w:r>
        <w:rPr>
          <w:rFonts w:hint="eastAsia" w:cs="Batang" w:asciiTheme="minorEastAsia" w:hAnsiTheme="minorEastAsia"/>
          <w:sz w:val="32"/>
          <w:szCs w:val="32"/>
        </w:rPr>
        <w:t>。</w:t>
      </w:r>
    </w:p>
    <w:p w14:paraId="3D719A28">
      <w:pPr>
        <w:shd w:val="solid" w:color="FFFFFF" w:fill="auto"/>
        <w:autoSpaceDN w:val="0"/>
        <w:spacing w:line="560" w:lineRule="exact"/>
        <w:ind w:firstLine="560"/>
        <w:rPr>
          <w:rFonts w:asciiTheme="minorEastAsia" w:hAnsiTheme="minorEastAsia"/>
          <w:sz w:val="32"/>
          <w:szCs w:val="32"/>
        </w:rPr>
      </w:pPr>
      <w:r>
        <w:rPr>
          <w:rFonts w:hint="eastAsia" w:asciiTheme="minorEastAsia" w:hAnsiTheme="minorEastAsia"/>
          <w:sz w:val="32"/>
          <w:szCs w:val="32"/>
        </w:rPr>
        <w:t xml:space="preserve"> </w:t>
      </w:r>
      <w:r>
        <w:rPr>
          <w:rFonts w:hint="eastAsia" w:cs="宋体" w:asciiTheme="minorEastAsia" w:hAnsiTheme="minorEastAsia"/>
          <w:color w:val="000000"/>
          <w:sz w:val="32"/>
          <w:szCs w:val="32"/>
          <w:shd w:val="clear" w:color="auto" w:fill="FFFFFF"/>
        </w:rPr>
        <w:t>（二）</w:t>
      </w:r>
      <w:r>
        <w:rPr>
          <w:rFonts w:hint="eastAsia" w:asciiTheme="minorEastAsia" w:hAnsiTheme="minorEastAsia"/>
          <w:sz w:val="32"/>
          <w:szCs w:val="32"/>
        </w:rPr>
        <w:t>使用</w:t>
      </w:r>
      <w:r>
        <w:rPr>
          <w:rFonts w:hint="eastAsia" w:cs="宋体" w:asciiTheme="minorEastAsia" w:hAnsiTheme="minorEastAsia"/>
          <w:sz w:val="32"/>
          <w:szCs w:val="32"/>
        </w:rPr>
        <w:t>标</w:t>
      </w:r>
      <w:r>
        <w:rPr>
          <w:rFonts w:hint="eastAsia" w:cs="Batang" w:asciiTheme="minorEastAsia" w:hAnsiTheme="minorEastAsia"/>
          <w:sz w:val="32"/>
          <w:szCs w:val="32"/>
        </w:rPr>
        <w:t>准的</w:t>
      </w:r>
      <w:r>
        <w:rPr>
          <w:rFonts w:hint="eastAsia" w:cs="宋体" w:asciiTheme="minorEastAsia" w:hAnsiTheme="minorEastAsia"/>
          <w:sz w:val="32"/>
          <w:szCs w:val="32"/>
        </w:rPr>
        <w:t>报纸纸张</w:t>
      </w:r>
      <w:r>
        <w:rPr>
          <w:rFonts w:hint="eastAsia" w:cs="Batang" w:asciiTheme="minorEastAsia" w:hAnsiTheme="minorEastAsia"/>
          <w:sz w:val="32"/>
          <w:szCs w:val="32"/>
        </w:rPr>
        <w:t>，印刷</w:t>
      </w:r>
      <w:r>
        <w:rPr>
          <w:rFonts w:hint="eastAsia" w:cs="宋体" w:asciiTheme="minorEastAsia" w:hAnsiTheme="minorEastAsia"/>
          <w:sz w:val="32"/>
          <w:szCs w:val="32"/>
        </w:rPr>
        <w:t>清</w:t>
      </w:r>
      <w:r>
        <w:rPr>
          <w:rFonts w:hint="eastAsia" w:cs="Batang" w:asciiTheme="minorEastAsia" w:hAnsiTheme="minorEastAsia"/>
          <w:sz w:val="32"/>
          <w:szCs w:val="32"/>
        </w:rPr>
        <w:t>晰度高。</w:t>
      </w:r>
      <w:r>
        <w:rPr>
          <w:rFonts w:hint="eastAsia" w:cs="宋体" w:asciiTheme="minorEastAsia" w:hAnsiTheme="minorEastAsia"/>
          <w:sz w:val="32"/>
          <w:szCs w:val="32"/>
        </w:rPr>
        <w:t>领导</w:t>
      </w:r>
      <w:r>
        <w:rPr>
          <w:rFonts w:hint="eastAsia" w:cs="Batang" w:asciiTheme="minorEastAsia" w:hAnsiTheme="minorEastAsia"/>
          <w:sz w:val="32"/>
          <w:szCs w:val="32"/>
        </w:rPr>
        <w:t>及</w:t>
      </w:r>
      <w:r>
        <w:rPr>
          <w:rFonts w:hint="eastAsia" w:cs="宋体" w:asciiTheme="minorEastAsia" w:hAnsiTheme="minorEastAsia"/>
          <w:sz w:val="32"/>
          <w:szCs w:val="32"/>
        </w:rPr>
        <w:t>时</w:t>
      </w:r>
      <w:r>
        <w:rPr>
          <w:rFonts w:hint="eastAsia" w:cs="Batang" w:asciiTheme="minorEastAsia" w:hAnsiTheme="minorEastAsia"/>
          <w:sz w:val="32"/>
          <w:szCs w:val="32"/>
        </w:rPr>
        <w:t>了解各</w:t>
      </w:r>
      <w:r>
        <w:rPr>
          <w:rFonts w:hint="eastAsia" w:cs="宋体" w:asciiTheme="minorEastAsia" w:hAnsiTheme="minorEastAsia"/>
          <w:sz w:val="32"/>
          <w:szCs w:val="32"/>
        </w:rPr>
        <w:t>个</w:t>
      </w:r>
      <w:r>
        <w:rPr>
          <w:rFonts w:hint="eastAsia" w:cs="Batang" w:asciiTheme="minorEastAsia" w:hAnsiTheme="minorEastAsia"/>
          <w:sz w:val="32"/>
          <w:szCs w:val="32"/>
        </w:rPr>
        <w:t>部</w:t>
      </w:r>
      <w:r>
        <w:rPr>
          <w:rFonts w:hint="eastAsia" w:cs="宋体" w:asciiTheme="minorEastAsia" w:hAnsiTheme="minorEastAsia"/>
          <w:sz w:val="32"/>
          <w:szCs w:val="32"/>
        </w:rPr>
        <w:t>门动态</w:t>
      </w:r>
      <w:r>
        <w:rPr>
          <w:rFonts w:hint="eastAsia" w:cs="Batang" w:asciiTheme="minorEastAsia" w:hAnsiTheme="minorEastAsia"/>
          <w:sz w:val="32"/>
          <w:szCs w:val="32"/>
        </w:rPr>
        <w:t>和社</w:t>
      </w:r>
      <w:r>
        <w:rPr>
          <w:rFonts w:hint="eastAsia" w:cs="宋体" w:asciiTheme="minorEastAsia" w:hAnsiTheme="minorEastAsia"/>
          <w:sz w:val="32"/>
          <w:szCs w:val="32"/>
        </w:rPr>
        <w:t>会动态</w:t>
      </w:r>
      <w:r>
        <w:rPr>
          <w:rFonts w:hint="eastAsia" w:cs="Batang" w:asciiTheme="minorEastAsia" w:hAnsiTheme="minorEastAsia"/>
          <w:sz w:val="32"/>
          <w:szCs w:val="32"/>
        </w:rPr>
        <w:t>，部</w:t>
      </w:r>
      <w:r>
        <w:rPr>
          <w:rFonts w:hint="eastAsia" w:cs="宋体" w:asciiTheme="minorEastAsia" w:hAnsiTheme="minorEastAsia"/>
          <w:sz w:val="32"/>
          <w:szCs w:val="32"/>
        </w:rPr>
        <w:t>门</w:t>
      </w:r>
      <w:r>
        <w:rPr>
          <w:rFonts w:hint="eastAsia" w:cs="Batang" w:asciiTheme="minorEastAsia" w:hAnsiTheme="minorEastAsia"/>
          <w:sz w:val="32"/>
          <w:szCs w:val="32"/>
        </w:rPr>
        <w:t>及</w:t>
      </w:r>
      <w:r>
        <w:rPr>
          <w:rFonts w:hint="eastAsia" w:cs="宋体" w:asciiTheme="minorEastAsia" w:hAnsiTheme="minorEastAsia"/>
          <w:sz w:val="32"/>
          <w:szCs w:val="32"/>
        </w:rPr>
        <w:t>时</w:t>
      </w:r>
      <w:r>
        <w:rPr>
          <w:rFonts w:hint="eastAsia" w:cs="Batang" w:asciiTheme="minorEastAsia" w:hAnsiTheme="minorEastAsia"/>
          <w:sz w:val="32"/>
          <w:szCs w:val="32"/>
        </w:rPr>
        <w:t>掌握</w:t>
      </w:r>
      <w:r>
        <w:rPr>
          <w:rFonts w:hint="eastAsia" w:cs="宋体" w:asciiTheme="minorEastAsia" w:hAnsiTheme="minorEastAsia"/>
          <w:sz w:val="32"/>
          <w:szCs w:val="32"/>
        </w:rPr>
        <w:t>区</w:t>
      </w:r>
      <w:r>
        <w:rPr>
          <w:rFonts w:hint="eastAsia" w:cs="Batang" w:asciiTheme="minorEastAsia" w:hAnsiTheme="minorEastAsia"/>
          <w:sz w:val="32"/>
          <w:szCs w:val="32"/>
        </w:rPr>
        <w:t>委、</w:t>
      </w:r>
      <w:r>
        <w:rPr>
          <w:rFonts w:hint="eastAsia" w:cs="宋体" w:asciiTheme="minorEastAsia" w:hAnsiTheme="minorEastAsia"/>
          <w:sz w:val="32"/>
          <w:szCs w:val="32"/>
        </w:rPr>
        <w:t>区</w:t>
      </w:r>
      <w:r>
        <w:rPr>
          <w:rFonts w:hint="eastAsia" w:cs="Batang" w:asciiTheme="minorEastAsia" w:hAnsiTheme="minorEastAsia"/>
          <w:sz w:val="32"/>
          <w:szCs w:val="32"/>
        </w:rPr>
        <w:t>政府政策和重点工作。</w:t>
      </w:r>
    </w:p>
    <w:p w14:paraId="3E079E58">
      <w:pPr>
        <w:shd w:val="solid" w:color="FFFFFF" w:fill="auto"/>
        <w:autoSpaceDN w:val="0"/>
        <w:spacing w:line="560" w:lineRule="exact"/>
        <w:ind w:firstLine="640"/>
        <w:rPr>
          <w:rFonts w:asciiTheme="minorEastAsia" w:hAnsiTheme="minorEastAsia"/>
          <w:sz w:val="32"/>
          <w:szCs w:val="32"/>
        </w:rPr>
      </w:pPr>
      <w:r>
        <w:rPr>
          <w:rFonts w:hint="eastAsia" w:cs="宋体" w:asciiTheme="minorEastAsia" w:hAnsiTheme="minorEastAsia"/>
          <w:color w:val="000000"/>
          <w:sz w:val="32"/>
          <w:szCs w:val="32"/>
          <w:shd w:val="clear" w:color="auto" w:fill="FFFFFF"/>
        </w:rPr>
        <w:t>（三）</w:t>
      </w:r>
      <w:r>
        <w:rPr>
          <w:rFonts w:hint="eastAsia" w:asciiTheme="minorEastAsia" w:hAnsiTheme="minorEastAsia"/>
          <w:sz w:val="32"/>
          <w:szCs w:val="32"/>
        </w:rPr>
        <w:t>每周二、三、五新媒体</w:t>
      </w:r>
      <w:r>
        <w:rPr>
          <w:rFonts w:hint="eastAsia" w:cs="宋体" w:asciiTheme="minorEastAsia" w:hAnsiTheme="minorEastAsia"/>
          <w:sz w:val="32"/>
          <w:szCs w:val="32"/>
        </w:rPr>
        <w:t>发</w:t>
      </w:r>
      <w:r>
        <w:rPr>
          <w:rFonts w:hint="eastAsia" w:cs="Batang" w:asciiTheme="minorEastAsia" w:hAnsiTheme="minorEastAsia"/>
          <w:sz w:val="32"/>
          <w:szCs w:val="32"/>
        </w:rPr>
        <w:t>布信息，提供信息服</w:t>
      </w:r>
      <w:r>
        <w:rPr>
          <w:rFonts w:hint="eastAsia" w:cs="宋体" w:asciiTheme="minorEastAsia" w:hAnsiTheme="minorEastAsia"/>
          <w:sz w:val="32"/>
          <w:szCs w:val="32"/>
        </w:rPr>
        <w:t>务</w:t>
      </w:r>
      <w:r>
        <w:rPr>
          <w:rFonts w:hint="eastAsia" w:cs="Batang" w:asciiTheme="minorEastAsia" w:hAnsiTheme="minorEastAsia"/>
          <w:sz w:val="32"/>
          <w:szCs w:val="32"/>
        </w:rPr>
        <w:t>、生活</w:t>
      </w:r>
      <w:r>
        <w:rPr>
          <w:rFonts w:hint="eastAsia" w:cs="宋体" w:asciiTheme="minorEastAsia" w:hAnsiTheme="minorEastAsia"/>
          <w:sz w:val="32"/>
          <w:szCs w:val="32"/>
        </w:rPr>
        <w:t>资讯</w:t>
      </w:r>
      <w:r>
        <w:rPr>
          <w:rFonts w:hint="eastAsia" w:cs="Batang" w:asciiTheme="minorEastAsia" w:hAnsiTheme="minorEastAsia"/>
          <w:sz w:val="32"/>
          <w:szCs w:val="32"/>
        </w:rPr>
        <w:t>、政策指</w:t>
      </w:r>
      <w:r>
        <w:rPr>
          <w:rFonts w:hint="eastAsia" w:cs="宋体" w:asciiTheme="minorEastAsia" w:hAnsiTheme="minorEastAsia"/>
          <w:sz w:val="32"/>
          <w:szCs w:val="32"/>
        </w:rPr>
        <w:t>导</w:t>
      </w:r>
      <w:r>
        <w:rPr>
          <w:rFonts w:hint="eastAsia" w:cs="Batang" w:asciiTheme="minorEastAsia" w:hAnsiTheme="minorEastAsia"/>
          <w:sz w:val="32"/>
          <w:szCs w:val="32"/>
        </w:rPr>
        <w:t>等立足官方、</w:t>
      </w:r>
      <w:r>
        <w:rPr>
          <w:rFonts w:hint="eastAsia" w:cs="宋体" w:asciiTheme="minorEastAsia" w:hAnsiTheme="minorEastAsia"/>
          <w:sz w:val="32"/>
          <w:szCs w:val="32"/>
        </w:rPr>
        <w:t>权</w:t>
      </w:r>
      <w:r>
        <w:rPr>
          <w:rFonts w:hint="eastAsia" w:cs="Batang" w:asciiTheme="minorEastAsia" w:hAnsiTheme="minorEastAsia"/>
          <w:sz w:val="32"/>
          <w:szCs w:val="32"/>
        </w:rPr>
        <w:t>威</w:t>
      </w:r>
      <w:r>
        <w:rPr>
          <w:rFonts w:hint="eastAsia" w:cs="宋体" w:asciiTheme="minorEastAsia" w:hAnsiTheme="minorEastAsia"/>
          <w:sz w:val="32"/>
          <w:szCs w:val="32"/>
        </w:rPr>
        <w:t>发</w:t>
      </w:r>
      <w:r>
        <w:rPr>
          <w:rFonts w:hint="eastAsia" w:cs="Batang" w:asciiTheme="minorEastAsia" w:hAnsiTheme="minorEastAsia"/>
          <w:sz w:val="32"/>
          <w:szCs w:val="32"/>
        </w:rPr>
        <w:t>布，宣</w:t>
      </w:r>
      <w:r>
        <w:rPr>
          <w:rFonts w:hint="eastAsia" w:cs="宋体" w:asciiTheme="minorEastAsia" w:hAnsiTheme="minorEastAsia"/>
          <w:sz w:val="32"/>
          <w:szCs w:val="32"/>
        </w:rPr>
        <w:t>传</w:t>
      </w:r>
      <w:r>
        <w:rPr>
          <w:rFonts w:hint="eastAsia" w:cs="Batang" w:asciiTheme="minorEastAsia" w:hAnsiTheme="minorEastAsia"/>
          <w:sz w:val="32"/>
          <w:szCs w:val="32"/>
        </w:rPr>
        <w:t>正能量，打造</w:t>
      </w:r>
      <w:r>
        <w:rPr>
          <w:rFonts w:hint="eastAsia" w:cs="宋体" w:asciiTheme="minorEastAsia" w:hAnsiTheme="minorEastAsia"/>
          <w:sz w:val="32"/>
          <w:szCs w:val="32"/>
        </w:rPr>
        <w:t>优质</w:t>
      </w:r>
      <w:r>
        <w:rPr>
          <w:rFonts w:hint="eastAsia" w:cs="Batang" w:asciiTheme="minorEastAsia" w:hAnsiTheme="minorEastAsia"/>
          <w:sz w:val="32"/>
          <w:szCs w:val="32"/>
        </w:rPr>
        <w:t>公共</w:t>
      </w:r>
      <w:r>
        <w:rPr>
          <w:rFonts w:hint="eastAsia" w:cs="宋体" w:asciiTheme="minorEastAsia" w:hAnsiTheme="minorEastAsia"/>
          <w:sz w:val="32"/>
          <w:szCs w:val="32"/>
        </w:rPr>
        <w:t>账号</w:t>
      </w:r>
      <w:r>
        <w:rPr>
          <w:rFonts w:hint="eastAsia" w:cs="Batang" w:asciiTheme="minorEastAsia" w:hAnsiTheme="minorEastAsia"/>
          <w:sz w:val="32"/>
          <w:szCs w:val="32"/>
        </w:rPr>
        <w:t>。</w:t>
      </w:r>
    </w:p>
    <w:p w14:paraId="4EA0C544">
      <w:pPr>
        <w:shd w:val="solid" w:color="FFFFFF" w:fill="auto"/>
        <w:autoSpaceDN w:val="0"/>
        <w:spacing w:line="560" w:lineRule="exact"/>
        <w:ind w:firstLine="640"/>
        <w:rPr>
          <w:rFonts w:cs="Batang" w:asciiTheme="minorEastAsia" w:hAnsiTheme="minorEastAsia"/>
          <w:sz w:val="32"/>
          <w:szCs w:val="32"/>
        </w:rPr>
      </w:pPr>
      <w:r>
        <w:rPr>
          <w:rFonts w:hint="eastAsia" w:cs="宋体" w:asciiTheme="minorEastAsia" w:hAnsiTheme="minorEastAsia"/>
          <w:color w:val="000000"/>
          <w:sz w:val="32"/>
          <w:szCs w:val="32"/>
          <w:shd w:val="clear" w:color="auto" w:fill="FFFFFF"/>
        </w:rPr>
        <w:t>（四）</w:t>
      </w:r>
      <w:r>
        <w:rPr>
          <w:rFonts w:hint="eastAsia" w:asciiTheme="minorEastAsia" w:hAnsiTheme="minorEastAsia"/>
          <w:sz w:val="32"/>
          <w:szCs w:val="32"/>
        </w:rPr>
        <w:t>打造微信</w:t>
      </w:r>
      <w:r>
        <w:rPr>
          <w:rFonts w:hint="eastAsia" w:cs="宋体" w:asciiTheme="minorEastAsia" w:hAnsiTheme="minorEastAsia"/>
          <w:sz w:val="32"/>
          <w:szCs w:val="32"/>
        </w:rPr>
        <w:t>权</w:t>
      </w:r>
      <w:r>
        <w:rPr>
          <w:rFonts w:hint="eastAsia" w:cs="Batang" w:asciiTheme="minorEastAsia" w:hAnsiTheme="minorEastAsia"/>
          <w:sz w:val="32"/>
          <w:szCs w:val="32"/>
        </w:rPr>
        <w:t>威信息</w:t>
      </w:r>
      <w:r>
        <w:rPr>
          <w:rFonts w:hint="eastAsia" w:cs="宋体" w:asciiTheme="minorEastAsia" w:hAnsiTheme="minorEastAsia"/>
          <w:sz w:val="32"/>
          <w:szCs w:val="32"/>
        </w:rPr>
        <w:t>发</w:t>
      </w:r>
      <w:r>
        <w:rPr>
          <w:rFonts w:hint="eastAsia" w:cs="Batang" w:asciiTheme="minorEastAsia" w:hAnsiTheme="minorEastAsia"/>
          <w:sz w:val="32"/>
          <w:szCs w:val="32"/>
        </w:rPr>
        <w:t>布平台，宣</w:t>
      </w:r>
      <w:r>
        <w:rPr>
          <w:rFonts w:hint="eastAsia" w:cs="宋体" w:asciiTheme="minorEastAsia" w:hAnsiTheme="minorEastAsia"/>
          <w:sz w:val="32"/>
          <w:szCs w:val="32"/>
        </w:rPr>
        <w:t>传区</w:t>
      </w:r>
      <w:r>
        <w:rPr>
          <w:rFonts w:hint="eastAsia" w:cs="Batang" w:asciiTheme="minorEastAsia" w:hAnsiTheme="minorEastAsia"/>
          <w:sz w:val="32"/>
          <w:szCs w:val="32"/>
        </w:rPr>
        <w:t>委、</w:t>
      </w:r>
      <w:r>
        <w:rPr>
          <w:rFonts w:hint="eastAsia" w:cs="宋体" w:asciiTheme="minorEastAsia" w:hAnsiTheme="minorEastAsia"/>
          <w:sz w:val="32"/>
          <w:szCs w:val="32"/>
        </w:rPr>
        <w:t>区</w:t>
      </w:r>
      <w:r>
        <w:rPr>
          <w:rFonts w:hint="eastAsia" w:cs="Batang" w:asciiTheme="minorEastAsia" w:hAnsiTheme="minorEastAsia"/>
          <w:sz w:val="32"/>
          <w:szCs w:val="32"/>
        </w:rPr>
        <w:t>政府中心工作、重大</w:t>
      </w:r>
      <w:r>
        <w:rPr>
          <w:rFonts w:hint="eastAsia" w:cs="宋体" w:asciiTheme="minorEastAsia" w:hAnsiTheme="minorEastAsia"/>
          <w:sz w:val="32"/>
          <w:szCs w:val="32"/>
        </w:rPr>
        <w:t>决</w:t>
      </w:r>
      <w:r>
        <w:rPr>
          <w:rFonts w:hint="eastAsia" w:cs="Batang" w:asciiTheme="minorEastAsia" w:hAnsiTheme="minorEastAsia"/>
          <w:sz w:val="32"/>
          <w:szCs w:val="32"/>
        </w:rPr>
        <w:t>策部署，引</w:t>
      </w:r>
      <w:r>
        <w:rPr>
          <w:rFonts w:hint="eastAsia" w:cs="宋体" w:asciiTheme="minorEastAsia" w:hAnsiTheme="minorEastAsia"/>
          <w:sz w:val="32"/>
          <w:szCs w:val="32"/>
        </w:rPr>
        <w:t>导网络舆论</w:t>
      </w:r>
      <w:r>
        <w:rPr>
          <w:rFonts w:hint="eastAsia" w:cs="Batang" w:asciiTheme="minorEastAsia" w:hAnsiTheme="minorEastAsia"/>
          <w:sz w:val="32"/>
          <w:szCs w:val="32"/>
        </w:rPr>
        <w:t>，</w:t>
      </w:r>
      <w:r>
        <w:rPr>
          <w:rFonts w:hint="eastAsia" w:cs="宋体" w:asciiTheme="minorEastAsia" w:hAnsiTheme="minorEastAsia"/>
          <w:sz w:val="32"/>
          <w:szCs w:val="32"/>
        </w:rPr>
        <w:t>发</w:t>
      </w:r>
      <w:r>
        <w:rPr>
          <w:rFonts w:hint="eastAsia" w:cs="Batang" w:asciiTheme="minorEastAsia" w:hAnsiTheme="minorEastAsia"/>
          <w:sz w:val="32"/>
          <w:szCs w:val="32"/>
        </w:rPr>
        <w:t>布公正信息，打</w:t>
      </w:r>
      <w:r>
        <w:rPr>
          <w:rFonts w:hint="eastAsia" w:cs="宋体" w:asciiTheme="minorEastAsia" w:hAnsiTheme="minorEastAsia"/>
          <w:sz w:val="32"/>
          <w:szCs w:val="32"/>
        </w:rPr>
        <w:t>击网络谣</w:t>
      </w:r>
      <w:r>
        <w:rPr>
          <w:rFonts w:hint="eastAsia" w:cs="Batang" w:asciiTheme="minorEastAsia" w:hAnsiTheme="minorEastAsia"/>
          <w:sz w:val="32"/>
          <w:szCs w:val="32"/>
        </w:rPr>
        <w:t>言，</w:t>
      </w:r>
      <w:r>
        <w:rPr>
          <w:rFonts w:hint="eastAsia" w:cs="宋体" w:asciiTheme="minorEastAsia" w:hAnsiTheme="minorEastAsia"/>
          <w:sz w:val="32"/>
          <w:szCs w:val="32"/>
        </w:rPr>
        <w:t>传</w:t>
      </w:r>
      <w:r>
        <w:rPr>
          <w:rFonts w:hint="eastAsia" w:cs="Batang" w:asciiTheme="minorEastAsia" w:hAnsiTheme="minorEastAsia"/>
          <w:sz w:val="32"/>
          <w:szCs w:val="32"/>
        </w:rPr>
        <w:t>播</w:t>
      </w:r>
      <w:r>
        <w:rPr>
          <w:rFonts w:hint="eastAsia" w:cs="宋体" w:asciiTheme="minorEastAsia" w:hAnsiTheme="minorEastAsia"/>
          <w:sz w:val="32"/>
          <w:szCs w:val="32"/>
        </w:rPr>
        <w:t>爱</w:t>
      </w:r>
      <w:r>
        <w:rPr>
          <w:rFonts w:hint="eastAsia" w:cs="Batang" w:asciiTheme="minorEastAsia" w:hAnsiTheme="minorEastAsia"/>
          <w:sz w:val="32"/>
          <w:szCs w:val="32"/>
        </w:rPr>
        <w:t>心救助，打造</w:t>
      </w:r>
      <w:r>
        <w:rPr>
          <w:rFonts w:hint="eastAsia" w:cs="宋体" w:asciiTheme="minorEastAsia" w:hAnsiTheme="minorEastAsia"/>
          <w:sz w:val="32"/>
          <w:szCs w:val="32"/>
        </w:rPr>
        <w:t>县</w:t>
      </w:r>
      <w:r>
        <w:rPr>
          <w:rFonts w:hint="eastAsia" w:cs="Batang" w:asciiTheme="minorEastAsia" w:hAnsiTheme="minorEastAsia"/>
          <w:sz w:val="32"/>
          <w:szCs w:val="32"/>
        </w:rPr>
        <w:t>域手机</w:t>
      </w:r>
      <w:r>
        <w:rPr>
          <w:rFonts w:hint="eastAsia" w:cs="宋体" w:asciiTheme="minorEastAsia" w:hAnsiTheme="minorEastAsia"/>
          <w:sz w:val="32"/>
          <w:szCs w:val="32"/>
        </w:rPr>
        <w:t>门户</w:t>
      </w:r>
      <w:r>
        <w:rPr>
          <w:rFonts w:hint="eastAsia" w:cs="Batang" w:asciiTheme="minorEastAsia" w:hAnsiTheme="minorEastAsia"/>
          <w:sz w:val="32"/>
          <w:szCs w:val="32"/>
        </w:rPr>
        <w:t>平台，</w:t>
      </w:r>
      <w:r>
        <w:rPr>
          <w:rFonts w:hint="eastAsia" w:cs="宋体" w:asciiTheme="minorEastAsia" w:hAnsiTheme="minorEastAsia"/>
          <w:sz w:val="32"/>
          <w:szCs w:val="32"/>
        </w:rPr>
        <w:t>进</w:t>
      </w:r>
      <w:r>
        <w:rPr>
          <w:rFonts w:hint="eastAsia" w:cs="Batang" w:asciiTheme="minorEastAsia" w:hAnsiTheme="minorEastAsia"/>
          <w:sz w:val="32"/>
          <w:szCs w:val="32"/>
        </w:rPr>
        <w:t>一步提升党的方</w:t>
      </w:r>
      <w:r>
        <w:rPr>
          <w:rFonts w:hint="eastAsia" w:cs="宋体" w:asciiTheme="minorEastAsia" w:hAnsiTheme="minorEastAsia"/>
          <w:sz w:val="32"/>
          <w:szCs w:val="32"/>
        </w:rPr>
        <w:t>针</w:t>
      </w:r>
      <w:r>
        <w:rPr>
          <w:rFonts w:hint="eastAsia" w:cs="Batang" w:asciiTheme="minorEastAsia" w:hAnsiTheme="minorEastAsia"/>
          <w:sz w:val="32"/>
          <w:szCs w:val="32"/>
        </w:rPr>
        <w:t>政策宣</w:t>
      </w:r>
      <w:r>
        <w:rPr>
          <w:rFonts w:hint="eastAsia" w:cs="宋体" w:asciiTheme="minorEastAsia" w:hAnsiTheme="minorEastAsia"/>
          <w:sz w:val="32"/>
          <w:szCs w:val="32"/>
        </w:rPr>
        <w:t>传</w:t>
      </w:r>
      <w:r>
        <w:rPr>
          <w:rFonts w:hint="eastAsia" w:cs="Batang" w:asciiTheme="minorEastAsia" w:hAnsiTheme="minorEastAsia"/>
          <w:sz w:val="32"/>
          <w:szCs w:val="32"/>
        </w:rPr>
        <w:t>覆盖面，打造本地信息</w:t>
      </w:r>
      <w:r>
        <w:rPr>
          <w:rFonts w:hint="eastAsia" w:cs="宋体" w:asciiTheme="minorEastAsia" w:hAnsiTheme="minorEastAsia"/>
          <w:sz w:val="32"/>
          <w:szCs w:val="32"/>
        </w:rPr>
        <w:t>资讯</w:t>
      </w:r>
      <w:r>
        <w:rPr>
          <w:rFonts w:hint="eastAsia" w:cs="Batang" w:asciiTheme="minorEastAsia" w:hAnsiTheme="minorEastAsia"/>
          <w:sz w:val="32"/>
          <w:szCs w:val="32"/>
        </w:rPr>
        <w:t>及生活助手手机平台。</w:t>
      </w:r>
    </w:p>
    <w:p w14:paraId="74705AA7">
      <w:pPr>
        <w:shd w:val="solid" w:color="FFFFFF" w:fill="auto"/>
        <w:autoSpaceDN w:val="0"/>
        <w:spacing w:line="560" w:lineRule="exact"/>
        <w:ind w:firstLine="640"/>
        <w:rPr>
          <w:rFonts w:cs="Batang" w:asciiTheme="minorEastAsia" w:hAnsiTheme="minorEastAsia"/>
          <w:sz w:val="32"/>
          <w:szCs w:val="32"/>
        </w:rPr>
      </w:pPr>
    </w:p>
    <w:bookmarkEnd w:id="0"/>
    <w:p w14:paraId="75F7C246">
      <w:pPr>
        <w:rPr>
          <w:b/>
          <w:sz w:val="36"/>
          <w:szCs w:val="36"/>
        </w:rPr>
      </w:pPr>
      <w:r>
        <w:rPr>
          <w:rFonts w:hint="eastAsia"/>
          <w:b/>
          <w:sz w:val="36"/>
          <w:szCs w:val="36"/>
        </w:rPr>
        <w:t>二、部门决算单位构成</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677B9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5FD0ADB">
            <w:pPr>
              <w:jc w:val="center"/>
              <w:rPr>
                <w:sz w:val="24"/>
                <w:szCs w:val="24"/>
              </w:rPr>
            </w:pPr>
            <w:r>
              <w:rPr>
                <w:rFonts w:hint="eastAsia"/>
                <w:sz w:val="24"/>
                <w:szCs w:val="24"/>
              </w:rPr>
              <w:t>单位名称</w:t>
            </w:r>
          </w:p>
        </w:tc>
        <w:tc>
          <w:tcPr>
            <w:tcW w:w="2130" w:type="dxa"/>
            <w:vAlign w:val="center"/>
          </w:tcPr>
          <w:p w14:paraId="203C8D0D">
            <w:pPr>
              <w:jc w:val="center"/>
              <w:rPr>
                <w:sz w:val="24"/>
                <w:szCs w:val="24"/>
              </w:rPr>
            </w:pPr>
            <w:r>
              <w:rPr>
                <w:rFonts w:hint="eastAsia"/>
                <w:sz w:val="24"/>
                <w:szCs w:val="24"/>
              </w:rPr>
              <w:t>单位性质</w:t>
            </w:r>
          </w:p>
        </w:tc>
        <w:tc>
          <w:tcPr>
            <w:tcW w:w="2131" w:type="dxa"/>
            <w:vAlign w:val="center"/>
          </w:tcPr>
          <w:p w14:paraId="6668DECE">
            <w:pPr>
              <w:jc w:val="center"/>
              <w:rPr>
                <w:sz w:val="24"/>
                <w:szCs w:val="24"/>
              </w:rPr>
            </w:pPr>
            <w:r>
              <w:rPr>
                <w:rFonts w:hint="eastAsia"/>
                <w:sz w:val="24"/>
                <w:szCs w:val="24"/>
              </w:rPr>
              <w:t>单位规格</w:t>
            </w:r>
          </w:p>
        </w:tc>
        <w:tc>
          <w:tcPr>
            <w:tcW w:w="2131" w:type="dxa"/>
            <w:vAlign w:val="center"/>
          </w:tcPr>
          <w:p w14:paraId="768E2639">
            <w:pPr>
              <w:jc w:val="center"/>
              <w:rPr>
                <w:sz w:val="24"/>
                <w:szCs w:val="24"/>
              </w:rPr>
            </w:pPr>
            <w:r>
              <w:rPr>
                <w:rFonts w:hint="eastAsia"/>
                <w:sz w:val="24"/>
                <w:szCs w:val="24"/>
              </w:rPr>
              <w:t>经费保障形式</w:t>
            </w:r>
          </w:p>
        </w:tc>
      </w:tr>
      <w:tr w14:paraId="53D6A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009D8EF">
            <w:pPr>
              <w:jc w:val="center"/>
              <w:rPr>
                <w:sz w:val="24"/>
                <w:szCs w:val="24"/>
              </w:rPr>
            </w:pPr>
            <w:r>
              <w:rPr>
                <w:rFonts w:hint="eastAsia"/>
                <w:sz w:val="24"/>
                <w:szCs w:val="24"/>
              </w:rPr>
              <w:t>石家庄市藁城区藁城报社</w:t>
            </w:r>
          </w:p>
        </w:tc>
        <w:tc>
          <w:tcPr>
            <w:tcW w:w="2130" w:type="dxa"/>
            <w:vAlign w:val="center"/>
          </w:tcPr>
          <w:p w14:paraId="1DA100B4">
            <w:pPr>
              <w:jc w:val="center"/>
              <w:rPr>
                <w:sz w:val="24"/>
                <w:szCs w:val="24"/>
              </w:rPr>
            </w:pPr>
            <w:r>
              <w:rPr>
                <w:rFonts w:hint="eastAsia"/>
                <w:sz w:val="24"/>
                <w:szCs w:val="24"/>
              </w:rPr>
              <w:t>全额事业</w:t>
            </w:r>
          </w:p>
        </w:tc>
        <w:tc>
          <w:tcPr>
            <w:tcW w:w="2131" w:type="dxa"/>
            <w:vAlign w:val="center"/>
          </w:tcPr>
          <w:p w14:paraId="1AE0E3A0">
            <w:pPr>
              <w:jc w:val="center"/>
              <w:rPr>
                <w:sz w:val="24"/>
                <w:szCs w:val="24"/>
              </w:rPr>
            </w:pPr>
            <w:r>
              <w:rPr>
                <w:rFonts w:hint="eastAsia"/>
                <w:sz w:val="24"/>
                <w:szCs w:val="24"/>
              </w:rPr>
              <w:t>正科级</w:t>
            </w:r>
          </w:p>
        </w:tc>
        <w:tc>
          <w:tcPr>
            <w:tcW w:w="2131" w:type="dxa"/>
            <w:vAlign w:val="center"/>
          </w:tcPr>
          <w:p w14:paraId="64A1C378">
            <w:pPr>
              <w:jc w:val="center"/>
              <w:rPr>
                <w:sz w:val="24"/>
                <w:szCs w:val="24"/>
              </w:rPr>
            </w:pPr>
            <w:r>
              <w:rPr>
                <w:rFonts w:hint="eastAsia"/>
                <w:sz w:val="24"/>
                <w:szCs w:val="24"/>
              </w:rPr>
              <w:t>财政性资金基本保证</w:t>
            </w:r>
          </w:p>
        </w:tc>
      </w:tr>
    </w:tbl>
    <w:p w14:paraId="17044E80">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65E1646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7FEB86C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5721883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7877585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318FFB8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4E105BE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6EF68C1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31749F0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065F3E5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59C250B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77C14595">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4B80959E">
      <w:pPr>
        <w:rPr>
          <w:b/>
          <w:sz w:val="36"/>
          <w:szCs w:val="36"/>
        </w:rPr>
      </w:pPr>
      <w:r>
        <w:rPr>
          <w:rFonts w:hint="eastAsia"/>
          <w:b/>
          <w:sz w:val="36"/>
          <w:szCs w:val="36"/>
        </w:rPr>
        <w:t>一、收入支出决算总体情况说明</w:t>
      </w:r>
    </w:p>
    <w:p w14:paraId="74D1CC76">
      <w:pPr>
        <w:ind w:firstLine="640" w:firstLineChars="200"/>
        <w:rPr>
          <w:rFonts w:asciiTheme="minorEastAsia" w:hAnsiTheme="minorEastAsia"/>
          <w:sz w:val="32"/>
          <w:szCs w:val="32"/>
        </w:rPr>
      </w:pPr>
      <w:r>
        <w:rPr>
          <w:rFonts w:hint="eastAsia" w:asciiTheme="minorEastAsia" w:hAnsiTheme="minorEastAsia"/>
          <w:sz w:val="32"/>
          <w:szCs w:val="32"/>
        </w:rPr>
        <w:t>2017年度年初结转和结余0万元，本年收入165.48万元，本年支出165.48万元，年末结转和结余0万元。与 2016 年度决算相比，本年收入增加4.65 万元， 增加3%；本年支出增加4.65 万元，增加 3%。收支增加的主要原因是， 2017 年度的人员工资略有增加。</w:t>
      </w:r>
    </w:p>
    <w:p w14:paraId="59FED396">
      <w:pPr>
        <w:rPr>
          <w:b/>
          <w:sz w:val="36"/>
          <w:szCs w:val="36"/>
        </w:rPr>
      </w:pPr>
      <w:r>
        <w:rPr>
          <w:rFonts w:hint="eastAsia"/>
          <w:b/>
          <w:sz w:val="36"/>
          <w:szCs w:val="36"/>
        </w:rPr>
        <w:t>二、收入决算情况说明</w:t>
      </w:r>
    </w:p>
    <w:p w14:paraId="308D05AF">
      <w:pPr>
        <w:ind w:firstLine="640" w:firstLineChars="200"/>
        <w:rPr>
          <w:rFonts w:asciiTheme="minorEastAsia" w:hAnsiTheme="minorEastAsia"/>
          <w:sz w:val="32"/>
          <w:szCs w:val="32"/>
        </w:rPr>
      </w:pPr>
      <w:r>
        <w:rPr>
          <w:rFonts w:hint="eastAsia" w:asciiTheme="minorEastAsia" w:hAnsiTheme="minorEastAsia"/>
          <w:sz w:val="32"/>
          <w:szCs w:val="32"/>
        </w:rPr>
        <w:t>2017 年度收入合计165.48万元， 其中： 财政拨款收入165.48万元，占100%；事业收入0万元；其他收入 0 万元。与 2016 年度相比，收入增加4.65  万元，其中财政拨款收入增加4.65万元，事业收入增加 0万元， 其他收入增加 0万元。</w:t>
      </w:r>
    </w:p>
    <w:p w14:paraId="2BCD9FEE">
      <w:pPr>
        <w:ind w:firstLine="640" w:firstLineChars="200"/>
        <w:rPr>
          <w:rFonts w:asciiTheme="minorEastAsia" w:hAnsiTheme="minorEastAsia"/>
          <w:sz w:val="32"/>
          <w:szCs w:val="32"/>
        </w:rPr>
      </w:pPr>
      <w:r>
        <w:rPr>
          <w:rFonts w:hint="eastAsia" w:asciiTheme="minorEastAsia" w:hAnsiTheme="minorEastAsia"/>
          <w:sz w:val="32"/>
          <w:szCs w:val="32"/>
        </w:rPr>
        <w:t>图1：</w:t>
      </w:r>
      <w:r>
        <w:rPr>
          <w:rFonts w:asciiTheme="minorEastAsia" w:hAnsiTheme="minorEastAsia"/>
          <w:sz w:val="32"/>
          <w:szCs w:val="32"/>
        </w:rPr>
        <w:t>收入决算结构饼状图</w:t>
      </w:r>
    </w:p>
    <w:p w14:paraId="03CE69CE">
      <w:pPr>
        <w:ind w:firstLine="640" w:firstLineChars="200"/>
        <w:rPr>
          <w:rFonts w:asciiTheme="minorEastAsia" w:hAnsiTheme="minorEastAsia"/>
          <w:sz w:val="32"/>
          <w:szCs w:val="32"/>
        </w:rPr>
      </w:pPr>
      <w:r>
        <w:rPr>
          <w:rFonts w:hint="eastAsia" w:asciiTheme="minorEastAsia" w:hAnsiTheme="minorEastAsia"/>
          <w:sz w:val="32"/>
          <w:szCs w:val="32"/>
        </w:rPr>
        <w:drawing>
          <wp:inline distT="0" distB="0" distL="0" distR="0">
            <wp:extent cx="5274310" cy="3076575"/>
            <wp:effectExtent l="0" t="0" r="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6EC65B4B">
      <w:pPr>
        <w:rPr>
          <w:b/>
          <w:sz w:val="36"/>
          <w:szCs w:val="36"/>
        </w:rPr>
      </w:pPr>
      <w:r>
        <w:rPr>
          <w:rFonts w:hint="eastAsia"/>
          <w:b/>
          <w:sz w:val="36"/>
          <w:szCs w:val="36"/>
        </w:rPr>
        <w:t>三、支出决算情况说明</w:t>
      </w:r>
    </w:p>
    <w:p w14:paraId="55A4463B">
      <w:pPr>
        <w:ind w:firstLine="640" w:firstLineChars="200"/>
        <w:rPr>
          <w:rFonts w:asciiTheme="minorEastAsia" w:hAnsiTheme="minorEastAsia"/>
          <w:sz w:val="32"/>
          <w:szCs w:val="32"/>
        </w:rPr>
      </w:pPr>
      <w:r>
        <w:rPr>
          <w:rFonts w:hint="eastAsia" w:asciiTheme="minorEastAsia" w:hAnsiTheme="minorEastAsia"/>
          <w:sz w:val="32"/>
          <w:szCs w:val="32"/>
        </w:rPr>
        <w:t>2017 年度支出合计165.48 万元，其中：基本支出165.48万元，占100%；项目支出0万元；上缴上级支出 0万元。与 2016 年度相比，支出增加 4.65万元，其中基本支出增加 4.65万元，项目支出增加0万元。</w:t>
      </w:r>
    </w:p>
    <w:p w14:paraId="2C1ABB35">
      <w:pPr>
        <w:ind w:firstLine="640" w:firstLineChars="200"/>
        <w:rPr>
          <w:rFonts w:asciiTheme="minorEastAsia" w:hAnsiTheme="minorEastAsia"/>
          <w:sz w:val="32"/>
          <w:szCs w:val="32"/>
        </w:rPr>
      </w:pPr>
      <w:r>
        <w:rPr>
          <w:rFonts w:hint="eastAsia" w:asciiTheme="minorEastAsia" w:hAnsiTheme="minorEastAsia"/>
          <w:sz w:val="32"/>
          <w:szCs w:val="32"/>
        </w:rPr>
        <w:t>图2：</w:t>
      </w:r>
      <w:r>
        <w:rPr>
          <w:rFonts w:asciiTheme="minorEastAsia" w:hAnsiTheme="minorEastAsia"/>
          <w:sz w:val="32"/>
          <w:szCs w:val="32"/>
        </w:rPr>
        <w:t>支出决算</w:t>
      </w:r>
      <w:r>
        <w:rPr>
          <w:rFonts w:hint="eastAsia" w:asciiTheme="minorEastAsia" w:hAnsiTheme="minorEastAsia"/>
          <w:sz w:val="32"/>
          <w:szCs w:val="32"/>
        </w:rPr>
        <w:t>结构饼状图</w:t>
      </w:r>
    </w:p>
    <w:p w14:paraId="5BE14B6B">
      <w:pPr>
        <w:ind w:firstLine="640" w:firstLineChars="200"/>
        <w:rPr>
          <w:rFonts w:asciiTheme="minorEastAsia" w:hAnsiTheme="minorEastAsia"/>
          <w:sz w:val="32"/>
          <w:szCs w:val="32"/>
        </w:rPr>
      </w:pPr>
      <w:r>
        <w:rPr>
          <w:rFonts w:hint="eastAsia" w:asciiTheme="minorEastAsia" w:hAnsiTheme="minorEastAsia"/>
          <w:sz w:val="32"/>
          <w:szCs w:val="32"/>
        </w:rPr>
        <w:drawing>
          <wp:inline distT="0" distB="0" distL="0" distR="0">
            <wp:extent cx="5274310" cy="3076575"/>
            <wp:effectExtent l="0" t="0" r="0"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219FD9CE">
      <w:pPr>
        <w:rPr>
          <w:b/>
          <w:sz w:val="36"/>
          <w:szCs w:val="36"/>
        </w:rPr>
      </w:pPr>
      <w:r>
        <w:rPr>
          <w:rFonts w:hint="eastAsia"/>
          <w:b/>
          <w:sz w:val="36"/>
          <w:szCs w:val="36"/>
        </w:rPr>
        <w:t>四、 财政拨款收入支出决算总体情况说明</w:t>
      </w:r>
    </w:p>
    <w:p w14:paraId="7D706BF5">
      <w:pPr>
        <w:rPr>
          <w:b/>
          <w:sz w:val="32"/>
          <w:szCs w:val="32"/>
        </w:rPr>
      </w:pPr>
      <w:r>
        <w:rPr>
          <w:rFonts w:hint="eastAsia"/>
          <w:b/>
          <w:sz w:val="32"/>
          <w:szCs w:val="32"/>
        </w:rPr>
        <w:t>（一）财政拨款收支与2016年度决算对比情况</w:t>
      </w:r>
    </w:p>
    <w:p w14:paraId="4DCE975E">
      <w:pPr>
        <w:ind w:firstLine="640" w:firstLineChars="200"/>
        <w:rPr>
          <w:rFonts w:asciiTheme="minorEastAsia" w:hAnsiTheme="minorEastAsia"/>
          <w:sz w:val="32"/>
          <w:szCs w:val="32"/>
        </w:rPr>
      </w:pPr>
      <w:r>
        <w:rPr>
          <w:rFonts w:hint="eastAsia" w:asciiTheme="minorEastAsia" w:hAnsiTheme="minorEastAsia"/>
          <w:sz w:val="32"/>
          <w:szCs w:val="32"/>
        </w:rPr>
        <w:t>2017 年度财政拨款收入165.48万元，其中：一般公共预算拨款165.48万元，政府性基金预算财政拨款0万元。与 2016 年度决算相比，财政拨款收入增加 4.65万元，其中：一般公共预算拨款收入增加 4.65 万元，政府性基金预算财政拨款增加0万元。</w:t>
      </w:r>
    </w:p>
    <w:p w14:paraId="7D3806DE">
      <w:pPr>
        <w:ind w:firstLine="640" w:firstLineChars="200"/>
        <w:rPr>
          <w:rFonts w:asciiTheme="minorEastAsia" w:hAnsiTheme="minorEastAsia"/>
          <w:sz w:val="32"/>
          <w:szCs w:val="32"/>
        </w:rPr>
      </w:pPr>
      <w:r>
        <w:rPr>
          <w:rFonts w:hint="eastAsia" w:asciiTheme="minorEastAsia" w:hAnsiTheme="minorEastAsia"/>
          <w:sz w:val="32"/>
          <w:szCs w:val="32"/>
        </w:rPr>
        <w:t>2017 年度财政拨款支出165.48 万元， 其中： 一般公共预算拨款支出165.48 万元，政府性基金预算财政拨款支出0万元。与 2016年度决算相比，财政拨款支出增加 4.65万元， 其中：一般公共预算拨款支出增加 4.65万元，政府性基金预算财政拨款支出增加 0万元。</w:t>
      </w:r>
    </w:p>
    <w:p w14:paraId="452DCDC9">
      <w:pPr>
        <w:ind w:firstLine="640" w:firstLineChars="200"/>
        <w:rPr>
          <w:rFonts w:asciiTheme="minorEastAsia" w:hAnsiTheme="minorEastAsia"/>
          <w:sz w:val="32"/>
          <w:szCs w:val="32"/>
        </w:rPr>
      </w:pPr>
      <w:r>
        <w:rPr>
          <w:rFonts w:hint="eastAsia" w:asciiTheme="minorEastAsia" w:hAnsiTheme="minorEastAsia"/>
          <w:sz w:val="32"/>
          <w:szCs w:val="32"/>
        </w:rPr>
        <w:t>2017 年度财政拨款收支比 2016 年增加的主要原因是 2017 年度人员工资略有增加。</w:t>
      </w:r>
    </w:p>
    <w:p w14:paraId="10DA6826">
      <w:pPr>
        <w:rPr>
          <w:b/>
          <w:sz w:val="32"/>
          <w:szCs w:val="32"/>
        </w:rPr>
      </w:pPr>
      <w:r>
        <w:rPr>
          <w:rFonts w:hint="eastAsia"/>
          <w:b/>
          <w:sz w:val="32"/>
          <w:szCs w:val="32"/>
        </w:rPr>
        <w:t>（二）财政拨款收支与年初预算数对比情况</w:t>
      </w:r>
    </w:p>
    <w:p w14:paraId="77D20DB0">
      <w:pPr>
        <w:ind w:firstLine="640" w:firstLineChars="200"/>
        <w:rPr>
          <w:rFonts w:asciiTheme="minorEastAsia" w:hAnsiTheme="minorEastAsia"/>
          <w:sz w:val="32"/>
          <w:szCs w:val="32"/>
        </w:rPr>
      </w:pPr>
      <w:r>
        <w:rPr>
          <w:rFonts w:hint="eastAsia" w:asciiTheme="minorEastAsia" w:hAnsiTheme="minorEastAsia"/>
          <w:sz w:val="32"/>
          <w:szCs w:val="32"/>
        </w:rPr>
        <w:t>2017 年度，年初预算批复财政拨款收支 162.51万元，其中：一般公共预算拨款162.51万元， 政府性基金预算财政拨款收支 0万元。与年初预算相比，财政拨款收入增加2.97万元，增加2%，其中：一般公共预算拨款增加2.97万元，政府性基金预算财政拨款增加0 万元。财政拨款支出增加2.97万元，增加2%，其中：一般公共预算拨款增加2.97万元， 政府性基金预算财政拨款增加0万元。2017 年度财政拨款收支比年初预算增加的主要原因是，人员工资略有增加。</w:t>
      </w:r>
    </w:p>
    <w:p w14:paraId="2DC351D7">
      <w:pPr>
        <w:rPr>
          <w:b/>
          <w:sz w:val="36"/>
          <w:szCs w:val="36"/>
        </w:rPr>
      </w:pPr>
      <w:r>
        <w:rPr>
          <w:rFonts w:hint="eastAsia"/>
          <w:b/>
          <w:sz w:val="36"/>
          <w:szCs w:val="36"/>
        </w:rPr>
        <w:t>五、 “ 三公” 经费支出决算情况说明</w:t>
      </w:r>
    </w:p>
    <w:p w14:paraId="32643664">
      <w:pPr>
        <w:ind w:firstLine="640" w:firstLineChars="200"/>
        <w:rPr>
          <w:rFonts w:asciiTheme="minorEastAsia" w:hAnsiTheme="minorEastAsia"/>
          <w:sz w:val="32"/>
          <w:szCs w:val="32"/>
        </w:rPr>
      </w:pPr>
      <w:r>
        <w:rPr>
          <w:rFonts w:hint="eastAsia" w:asciiTheme="minorEastAsia" w:hAnsiTheme="minorEastAsia"/>
          <w:sz w:val="32"/>
          <w:szCs w:val="32"/>
        </w:rPr>
        <w:t>2017年度，我部门认真落实中央八项规定精神和厉行节约要求，管理制度不断完善，“ 三公” 经费支出得到有</w:t>
      </w:r>
      <w:bookmarkStart w:id="1" w:name="_GoBack"/>
      <w:bookmarkEnd w:id="1"/>
      <w:r>
        <w:rPr>
          <w:rFonts w:hint="eastAsia" w:asciiTheme="minorEastAsia" w:hAnsiTheme="minorEastAsia"/>
          <w:sz w:val="32"/>
          <w:szCs w:val="32"/>
        </w:rPr>
        <w:t>效控制。全年“ 三公” 经费支出共计2.49万元，与2016年度比，总支出减少0.01万元， 减少0.4%； 与年初预算相比，总支出减少0.41万元，减少14%。</w:t>
      </w:r>
    </w:p>
    <w:p w14:paraId="114B0EFE">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5CCBC43D">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经费支出共计2.49万元，与2016年度对比，总支出减少0.01万元。</w:t>
      </w:r>
    </w:p>
    <w:p w14:paraId="54A3B162">
      <w:pPr>
        <w:rPr>
          <w:b/>
          <w:sz w:val="32"/>
          <w:szCs w:val="32"/>
        </w:rPr>
      </w:pPr>
      <w:r>
        <w:rPr>
          <w:rFonts w:hint="eastAsia"/>
          <w:b/>
          <w:sz w:val="32"/>
          <w:szCs w:val="32"/>
        </w:rPr>
        <w:t>“ 三公” 经费支出2016年度、 2017年度对比明细表</w:t>
      </w:r>
    </w:p>
    <w:p w14:paraId="59BB8EF8">
      <w:pPr>
        <w:jc w:val="right"/>
        <w:rPr>
          <w:rFonts w:asciiTheme="minorEastAsia" w:hAnsiTheme="minorEastAsia"/>
          <w:sz w:val="28"/>
          <w:szCs w:val="28"/>
        </w:rPr>
      </w:pPr>
      <w:r>
        <w:rPr>
          <w:rFonts w:hint="eastAsia" w:asciiTheme="minorEastAsia" w:hAnsiTheme="minor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2651E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C088B90">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35533C9E">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5CBC2677">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47C0F28C">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0F62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1D1114E">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690F3DED">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748D832A">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5078E5F3">
            <w:pPr>
              <w:jc w:val="center"/>
              <w:rPr>
                <w:rFonts w:asciiTheme="minorEastAsia" w:hAnsiTheme="minorEastAsia"/>
                <w:sz w:val="24"/>
                <w:szCs w:val="24"/>
              </w:rPr>
            </w:pPr>
            <w:r>
              <w:rPr>
                <w:rFonts w:hint="eastAsia" w:asciiTheme="minorEastAsia" w:hAnsiTheme="minorEastAsia"/>
                <w:sz w:val="24"/>
                <w:szCs w:val="24"/>
              </w:rPr>
              <w:t>0</w:t>
            </w:r>
          </w:p>
        </w:tc>
      </w:tr>
      <w:tr w14:paraId="08897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8844D61">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42320F65">
            <w:pPr>
              <w:jc w:val="center"/>
              <w:rPr>
                <w:rFonts w:asciiTheme="minorEastAsia" w:hAnsiTheme="minorEastAsia"/>
                <w:sz w:val="24"/>
                <w:szCs w:val="24"/>
              </w:rPr>
            </w:pPr>
            <w:r>
              <w:rPr>
                <w:rFonts w:hint="eastAsia" w:asciiTheme="minorEastAsia" w:hAnsiTheme="minorEastAsia"/>
                <w:sz w:val="24"/>
                <w:szCs w:val="24"/>
              </w:rPr>
              <w:t>2.5</w:t>
            </w:r>
          </w:p>
        </w:tc>
        <w:tc>
          <w:tcPr>
            <w:tcW w:w="2130" w:type="dxa"/>
            <w:vAlign w:val="center"/>
          </w:tcPr>
          <w:p w14:paraId="3826A1BF">
            <w:pPr>
              <w:jc w:val="center"/>
              <w:rPr>
                <w:rFonts w:asciiTheme="minorEastAsia" w:hAnsiTheme="minorEastAsia"/>
                <w:sz w:val="24"/>
                <w:szCs w:val="24"/>
              </w:rPr>
            </w:pPr>
            <w:r>
              <w:rPr>
                <w:rFonts w:hint="eastAsia" w:asciiTheme="minorEastAsia" w:hAnsiTheme="minorEastAsia"/>
                <w:sz w:val="24"/>
                <w:szCs w:val="24"/>
              </w:rPr>
              <w:t>2.49</w:t>
            </w:r>
          </w:p>
        </w:tc>
        <w:tc>
          <w:tcPr>
            <w:tcW w:w="2131" w:type="dxa"/>
            <w:vAlign w:val="center"/>
          </w:tcPr>
          <w:p w14:paraId="0853CF9C">
            <w:pPr>
              <w:jc w:val="center"/>
              <w:rPr>
                <w:rFonts w:asciiTheme="minorEastAsia" w:hAnsiTheme="minorEastAsia"/>
                <w:sz w:val="24"/>
                <w:szCs w:val="24"/>
              </w:rPr>
            </w:pPr>
            <w:r>
              <w:rPr>
                <w:rFonts w:hint="eastAsia" w:asciiTheme="minorEastAsia" w:hAnsiTheme="minorEastAsia"/>
                <w:sz w:val="24"/>
                <w:szCs w:val="24"/>
              </w:rPr>
              <w:t>-0.01</w:t>
            </w:r>
          </w:p>
        </w:tc>
      </w:tr>
      <w:tr w14:paraId="38396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EEF9D90">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32F2E981">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65BFAA50">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4208D6D2">
            <w:pPr>
              <w:jc w:val="center"/>
              <w:rPr>
                <w:rFonts w:asciiTheme="minorEastAsia" w:hAnsiTheme="minorEastAsia"/>
                <w:sz w:val="24"/>
                <w:szCs w:val="24"/>
              </w:rPr>
            </w:pPr>
            <w:r>
              <w:rPr>
                <w:rFonts w:hint="eastAsia" w:asciiTheme="minorEastAsia" w:hAnsiTheme="minorEastAsia"/>
                <w:sz w:val="24"/>
                <w:szCs w:val="24"/>
              </w:rPr>
              <w:t>0</w:t>
            </w:r>
          </w:p>
        </w:tc>
      </w:tr>
      <w:tr w14:paraId="0B417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3E53D18">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65DA223A">
            <w:pPr>
              <w:jc w:val="center"/>
              <w:rPr>
                <w:rFonts w:asciiTheme="minorEastAsia" w:hAnsiTheme="minorEastAsia"/>
                <w:sz w:val="24"/>
                <w:szCs w:val="24"/>
              </w:rPr>
            </w:pPr>
            <w:r>
              <w:rPr>
                <w:rFonts w:hint="eastAsia" w:asciiTheme="minorEastAsia" w:hAnsiTheme="minorEastAsia"/>
                <w:sz w:val="24"/>
                <w:szCs w:val="24"/>
              </w:rPr>
              <w:t>2.5</w:t>
            </w:r>
          </w:p>
        </w:tc>
        <w:tc>
          <w:tcPr>
            <w:tcW w:w="2130" w:type="dxa"/>
            <w:vAlign w:val="center"/>
          </w:tcPr>
          <w:p w14:paraId="181551F8">
            <w:pPr>
              <w:jc w:val="center"/>
              <w:rPr>
                <w:rFonts w:asciiTheme="minorEastAsia" w:hAnsiTheme="minorEastAsia"/>
                <w:sz w:val="24"/>
                <w:szCs w:val="24"/>
              </w:rPr>
            </w:pPr>
            <w:r>
              <w:rPr>
                <w:rFonts w:hint="eastAsia" w:asciiTheme="minorEastAsia" w:hAnsiTheme="minorEastAsia"/>
                <w:sz w:val="24"/>
                <w:szCs w:val="24"/>
              </w:rPr>
              <w:t>2.49</w:t>
            </w:r>
          </w:p>
        </w:tc>
        <w:tc>
          <w:tcPr>
            <w:tcW w:w="2131" w:type="dxa"/>
            <w:vAlign w:val="center"/>
          </w:tcPr>
          <w:p w14:paraId="5B9396FC">
            <w:pPr>
              <w:jc w:val="center"/>
              <w:rPr>
                <w:rFonts w:asciiTheme="minorEastAsia" w:hAnsiTheme="minorEastAsia"/>
                <w:sz w:val="24"/>
                <w:szCs w:val="24"/>
              </w:rPr>
            </w:pPr>
            <w:r>
              <w:rPr>
                <w:rFonts w:hint="eastAsia" w:asciiTheme="minorEastAsia" w:hAnsiTheme="minorEastAsia"/>
                <w:sz w:val="24"/>
                <w:szCs w:val="24"/>
              </w:rPr>
              <w:t>-0.01</w:t>
            </w:r>
          </w:p>
        </w:tc>
      </w:tr>
    </w:tbl>
    <w:p w14:paraId="1EAC4401">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经费实际支出，与预算对比，减少0.41万元。其中因公出国（境）费减少0万元，公务用车运行维护费减少0.41万元，接待费减少0万元。</w:t>
      </w:r>
    </w:p>
    <w:p w14:paraId="73BCA932">
      <w:pPr>
        <w:rPr>
          <w:b/>
          <w:sz w:val="32"/>
          <w:szCs w:val="32"/>
        </w:rPr>
      </w:pPr>
      <w:r>
        <w:rPr>
          <w:rFonts w:hint="eastAsia"/>
          <w:b/>
          <w:sz w:val="32"/>
          <w:szCs w:val="32"/>
        </w:rPr>
        <w:t>2017年度“ 三公” 经费支出预决算对比明细表</w:t>
      </w:r>
    </w:p>
    <w:p w14:paraId="0E6BFDDD">
      <w:pPr>
        <w:jc w:val="right"/>
        <w:rPr>
          <w:sz w:val="28"/>
          <w:szCs w:val="28"/>
        </w:rPr>
      </w:pPr>
      <w:r>
        <w:rPr>
          <w:rFonts w:hint="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3C7E0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15D12D4">
            <w:pPr>
              <w:jc w:val="center"/>
              <w:rPr>
                <w:sz w:val="24"/>
                <w:szCs w:val="24"/>
              </w:rPr>
            </w:pPr>
            <w:r>
              <w:rPr>
                <w:rFonts w:hint="eastAsia"/>
                <w:sz w:val="24"/>
                <w:szCs w:val="24"/>
              </w:rPr>
              <w:t>“ 三公” 经费</w:t>
            </w:r>
          </w:p>
        </w:tc>
        <w:tc>
          <w:tcPr>
            <w:tcW w:w="2131" w:type="dxa"/>
            <w:vAlign w:val="center"/>
          </w:tcPr>
          <w:p w14:paraId="0D1486A0">
            <w:pPr>
              <w:jc w:val="center"/>
              <w:rPr>
                <w:b/>
                <w:sz w:val="24"/>
                <w:szCs w:val="24"/>
              </w:rPr>
            </w:pPr>
            <w:r>
              <w:rPr>
                <w:rFonts w:hint="eastAsia"/>
                <w:sz w:val="24"/>
                <w:szCs w:val="24"/>
              </w:rPr>
              <w:t>2017年实际支出</w:t>
            </w:r>
          </w:p>
        </w:tc>
        <w:tc>
          <w:tcPr>
            <w:tcW w:w="2130" w:type="dxa"/>
            <w:vAlign w:val="center"/>
          </w:tcPr>
          <w:p w14:paraId="4C86F628">
            <w:pPr>
              <w:jc w:val="center"/>
              <w:rPr>
                <w:sz w:val="24"/>
                <w:szCs w:val="24"/>
              </w:rPr>
            </w:pPr>
            <w:r>
              <w:rPr>
                <w:rFonts w:hint="eastAsia"/>
                <w:sz w:val="24"/>
                <w:szCs w:val="24"/>
              </w:rPr>
              <w:t>2017年预算</w:t>
            </w:r>
          </w:p>
        </w:tc>
        <w:tc>
          <w:tcPr>
            <w:tcW w:w="2131" w:type="dxa"/>
            <w:vAlign w:val="center"/>
          </w:tcPr>
          <w:p w14:paraId="0175F8FB">
            <w:pPr>
              <w:jc w:val="center"/>
              <w:rPr>
                <w:b/>
                <w:sz w:val="24"/>
                <w:szCs w:val="24"/>
              </w:rPr>
            </w:pPr>
            <w:r>
              <w:rPr>
                <w:rFonts w:hint="eastAsia"/>
                <w:sz w:val="24"/>
                <w:szCs w:val="24"/>
              </w:rPr>
              <w:t>预决算对比</w:t>
            </w:r>
          </w:p>
        </w:tc>
      </w:tr>
      <w:tr w14:paraId="2A95F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E000BE7">
            <w:pPr>
              <w:jc w:val="center"/>
              <w:rPr>
                <w:sz w:val="24"/>
                <w:szCs w:val="24"/>
              </w:rPr>
            </w:pPr>
            <w:r>
              <w:rPr>
                <w:rFonts w:hint="eastAsia"/>
                <w:sz w:val="24"/>
                <w:szCs w:val="24"/>
              </w:rPr>
              <w:t>因公出国（境）支出</w:t>
            </w:r>
          </w:p>
        </w:tc>
        <w:tc>
          <w:tcPr>
            <w:tcW w:w="2131" w:type="dxa"/>
            <w:vAlign w:val="center"/>
          </w:tcPr>
          <w:p w14:paraId="3A295619">
            <w:pPr>
              <w:jc w:val="center"/>
              <w:rPr>
                <w:sz w:val="24"/>
                <w:szCs w:val="24"/>
              </w:rPr>
            </w:pPr>
            <w:r>
              <w:rPr>
                <w:rFonts w:hint="eastAsia"/>
                <w:sz w:val="24"/>
                <w:szCs w:val="24"/>
              </w:rPr>
              <w:t>0</w:t>
            </w:r>
          </w:p>
        </w:tc>
        <w:tc>
          <w:tcPr>
            <w:tcW w:w="2130" w:type="dxa"/>
            <w:vAlign w:val="center"/>
          </w:tcPr>
          <w:p w14:paraId="016E0E15">
            <w:pPr>
              <w:jc w:val="center"/>
              <w:rPr>
                <w:sz w:val="24"/>
                <w:szCs w:val="24"/>
              </w:rPr>
            </w:pPr>
            <w:r>
              <w:rPr>
                <w:rFonts w:hint="eastAsia"/>
                <w:sz w:val="24"/>
                <w:szCs w:val="24"/>
              </w:rPr>
              <w:t>0</w:t>
            </w:r>
          </w:p>
        </w:tc>
        <w:tc>
          <w:tcPr>
            <w:tcW w:w="2131" w:type="dxa"/>
            <w:vAlign w:val="center"/>
          </w:tcPr>
          <w:p w14:paraId="676AECFB">
            <w:pPr>
              <w:jc w:val="center"/>
              <w:rPr>
                <w:sz w:val="24"/>
                <w:szCs w:val="24"/>
              </w:rPr>
            </w:pPr>
            <w:r>
              <w:rPr>
                <w:rFonts w:hint="eastAsia"/>
                <w:sz w:val="24"/>
                <w:szCs w:val="24"/>
              </w:rPr>
              <w:t>0</w:t>
            </w:r>
          </w:p>
        </w:tc>
      </w:tr>
      <w:tr w14:paraId="00D77939">
        <w:tblPrEx>
          <w:tblCellMar>
            <w:top w:w="0" w:type="dxa"/>
            <w:left w:w="108" w:type="dxa"/>
            <w:bottom w:w="0" w:type="dxa"/>
            <w:right w:w="108" w:type="dxa"/>
          </w:tblCellMar>
        </w:tblPrEx>
        <w:tc>
          <w:tcPr>
            <w:tcW w:w="2130" w:type="dxa"/>
            <w:vAlign w:val="center"/>
          </w:tcPr>
          <w:p w14:paraId="29D178CD">
            <w:pPr>
              <w:jc w:val="center"/>
              <w:rPr>
                <w:sz w:val="24"/>
                <w:szCs w:val="24"/>
              </w:rPr>
            </w:pPr>
            <w:r>
              <w:rPr>
                <w:rFonts w:hint="eastAsia"/>
                <w:sz w:val="24"/>
                <w:szCs w:val="24"/>
              </w:rPr>
              <w:t>公务用车运行维护费</w:t>
            </w:r>
          </w:p>
        </w:tc>
        <w:tc>
          <w:tcPr>
            <w:tcW w:w="2131" w:type="dxa"/>
            <w:vAlign w:val="center"/>
          </w:tcPr>
          <w:p w14:paraId="390C7FB4">
            <w:pPr>
              <w:jc w:val="center"/>
              <w:rPr>
                <w:sz w:val="24"/>
                <w:szCs w:val="24"/>
              </w:rPr>
            </w:pPr>
            <w:r>
              <w:rPr>
                <w:rFonts w:hint="eastAsia"/>
                <w:sz w:val="24"/>
                <w:szCs w:val="24"/>
              </w:rPr>
              <w:t>2.49</w:t>
            </w:r>
          </w:p>
        </w:tc>
        <w:tc>
          <w:tcPr>
            <w:tcW w:w="2130" w:type="dxa"/>
            <w:vAlign w:val="center"/>
          </w:tcPr>
          <w:p w14:paraId="78511A39">
            <w:pPr>
              <w:jc w:val="center"/>
              <w:rPr>
                <w:sz w:val="24"/>
                <w:szCs w:val="24"/>
              </w:rPr>
            </w:pPr>
            <w:r>
              <w:rPr>
                <w:rFonts w:hint="eastAsia"/>
                <w:sz w:val="24"/>
                <w:szCs w:val="24"/>
              </w:rPr>
              <w:t>2.5</w:t>
            </w:r>
          </w:p>
        </w:tc>
        <w:tc>
          <w:tcPr>
            <w:tcW w:w="2131" w:type="dxa"/>
            <w:vAlign w:val="center"/>
          </w:tcPr>
          <w:p w14:paraId="285B0C8B">
            <w:pPr>
              <w:jc w:val="center"/>
              <w:rPr>
                <w:sz w:val="24"/>
                <w:szCs w:val="24"/>
              </w:rPr>
            </w:pPr>
            <w:r>
              <w:rPr>
                <w:rFonts w:hint="eastAsia"/>
                <w:sz w:val="24"/>
                <w:szCs w:val="24"/>
              </w:rPr>
              <w:t>0.01</w:t>
            </w:r>
          </w:p>
        </w:tc>
      </w:tr>
      <w:tr w14:paraId="3AD4FC54">
        <w:tblPrEx>
          <w:tblCellMar>
            <w:top w:w="0" w:type="dxa"/>
            <w:left w:w="108" w:type="dxa"/>
            <w:bottom w:w="0" w:type="dxa"/>
            <w:right w:w="108" w:type="dxa"/>
          </w:tblCellMar>
        </w:tblPrEx>
        <w:tc>
          <w:tcPr>
            <w:tcW w:w="2130" w:type="dxa"/>
            <w:vAlign w:val="center"/>
          </w:tcPr>
          <w:p w14:paraId="60715833">
            <w:pPr>
              <w:jc w:val="center"/>
              <w:rPr>
                <w:sz w:val="24"/>
                <w:szCs w:val="24"/>
              </w:rPr>
            </w:pPr>
            <w:r>
              <w:rPr>
                <w:rFonts w:hint="eastAsia"/>
                <w:sz w:val="24"/>
                <w:szCs w:val="24"/>
              </w:rPr>
              <w:t>公务接待费</w:t>
            </w:r>
          </w:p>
        </w:tc>
        <w:tc>
          <w:tcPr>
            <w:tcW w:w="2131" w:type="dxa"/>
            <w:vAlign w:val="center"/>
          </w:tcPr>
          <w:p w14:paraId="6749F255">
            <w:pPr>
              <w:jc w:val="center"/>
              <w:rPr>
                <w:sz w:val="24"/>
                <w:szCs w:val="24"/>
              </w:rPr>
            </w:pPr>
            <w:r>
              <w:rPr>
                <w:rFonts w:hint="eastAsia"/>
                <w:sz w:val="24"/>
                <w:szCs w:val="24"/>
              </w:rPr>
              <w:t>0</w:t>
            </w:r>
          </w:p>
        </w:tc>
        <w:tc>
          <w:tcPr>
            <w:tcW w:w="2130" w:type="dxa"/>
            <w:vAlign w:val="center"/>
          </w:tcPr>
          <w:p w14:paraId="06252915">
            <w:pPr>
              <w:jc w:val="center"/>
              <w:rPr>
                <w:sz w:val="24"/>
                <w:szCs w:val="24"/>
              </w:rPr>
            </w:pPr>
            <w:r>
              <w:rPr>
                <w:rFonts w:hint="eastAsia"/>
                <w:sz w:val="24"/>
                <w:szCs w:val="24"/>
              </w:rPr>
              <w:t>0.4</w:t>
            </w:r>
          </w:p>
        </w:tc>
        <w:tc>
          <w:tcPr>
            <w:tcW w:w="2131" w:type="dxa"/>
            <w:vAlign w:val="center"/>
          </w:tcPr>
          <w:p w14:paraId="790ADC75">
            <w:pPr>
              <w:jc w:val="center"/>
              <w:rPr>
                <w:sz w:val="24"/>
                <w:szCs w:val="24"/>
              </w:rPr>
            </w:pPr>
            <w:r>
              <w:rPr>
                <w:rFonts w:hint="eastAsia"/>
                <w:sz w:val="24"/>
                <w:szCs w:val="24"/>
              </w:rPr>
              <w:t>0.4</w:t>
            </w:r>
          </w:p>
        </w:tc>
      </w:tr>
      <w:tr w14:paraId="6C79F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9FDFD73">
            <w:pPr>
              <w:jc w:val="center"/>
              <w:rPr>
                <w:sz w:val="24"/>
                <w:szCs w:val="24"/>
              </w:rPr>
            </w:pPr>
            <w:r>
              <w:rPr>
                <w:rFonts w:hint="eastAsia"/>
                <w:sz w:val="24"/>
                <w:szCs w:val="24"/>
              </w:rPr>
              <w:t>合计</w:t>
            </w:r>
          </w:p>
        </w:tc>
        <w:tc>
          <w:tcPr>
            <w:tcW w:w="2131" w:type="dxa"/>
            <w:vAlign w:val="center"/>
          </w:tcPr>
          <w:p w14:paraId="4958CA36">
            <w:pPr>
              <w:jc w:val="center"/>
              <w:rPr>
                <w:sz w:val="24"/>
                <w:szCs w:val="24"/>
              </w:rPr>
            </w:pPr>
            <w:r>
              <w:rPr>
                <w:rFonts w:hint="eastAsia"/>
                <w:sz w:val="24"/>
                <w:szCs w:val="24"/>
              </w:rPr>
              <w:t>2.49</w:t>
            </w:r>
          </w:p>
        </w:tc>
        <w:tc>
          <w:tcPr>
            <w:tcW w:w="2130" w:type="dxa"/>
            <w:vAlign w:val="center"/>
          </w:tcPr>
          <w:p w14:paraId="6DD4CA2E">
            <w:pPr>
              <w:jc w:val="center"/>
              <w:rPr>
                <w:sz w:val="24"/>
                <w:szCs w:val="24"/>
              </w:rPr>
            </w:pPr>
            <w:r>
              <w:rPr>
                <w:rFonts w:hint="eastAsia"/>
                <w:sz w:val="24"/>
                <w:szCs w:val="24"/>
              </w:rPr>
              <w:t>2.9</w:t>
            </w:r>
          </w:p>
        </w:tc>
        <w:tc>
          <w:tcPr>
            <w:tcW w:w="2131" w:type="dxa"/>
            <w:vAlign w:val="center"/>
          </w:tcPr>
          <w:p w14:paraId="1D1F3953">
            <w:pPr>
              <w:jc w:val="center"/>
              <w:rPr>
                <w:sz w:val="24"/>
                <w:szCs w:val="24"/>
              </w:rPr>
            </w:pPr>
            <w:r>
              <w:rPr>
                <w:rFonts w:hint="eastAsia"/>
                <w:sz w:val="24"/>
                <w:szCs w:val="24"/>
              </w:rPr>
              <w:t>0.41</w:t>
            </w:r>
          </w:p>
        </w:tc>
      </w:tr>
    </w:tbl>
    <w:p w14:paraId="0E7A0204">
      <w:pPr>
        <w:ind w:firstLine="643" w:firstLineChars="200"/>
        <w:rPr>
          <w:rFonts w:asciiTheme="minorEastAsia" w:hAnsiTheme="minorEastAsia"/>
          <w:sz w:val="32"/>
          <w:szCs w:val="32"/>
        </w:rPr>
      </w:pPr>
      <w:r>
        <w:rPr>
          <w:rFonts w:hint="eastAsia" w:asciiTheme="minorEastAsia" w:hAnsiTheme="minorEastAsia"/>
          <w:b/>
          <w:sz w:val="32"/>
          <w:szCs w:val="32"/>
        </w:rPr>
        <w:t>（一）2017年因公出国（境）支出0万元。2016年度因公出国（境）支出0万元。</w:t>
      </w:r>
      <w:r>
        <w:rPr>
          <w:rFonts w:hint="eastAsia" w:asciiTheme="minorEastAsia" w:hAnsiTheme="minorEastAsia"/>
          <w:sz w:val="28"/>
          <w:szCs w:val="28"/>
        </w:rPr>
        <w:t xml:space="preserve"> </w:t>
      </w:r>
    </w:p>
    <w:p w14:paraId="1E810D31">
      <w:pPr>
        <w:ind w:firstLine="643" w:firstLineChars="200"/>
        <w:rPr>
          <w:rFonts w:asciiTheme="minorEastAsia" w:hAnsiTheme="minorEastAsia"/>
          <w:sz w:val="32"/>
          <w:szCs w:val="32"/>
        </w:rPr>
      </w:pPr>
      <w:r>
        <w:rPr>
          <w:rFonts w:hint="eastAsia" w:asciiTheme="minorEastAsia" w:hAnsiTheme="minorEastAsia"/>
          <w:b/>
          <w:sz w:val="32"/>
          <w:szCs w:val="32"/>
        </w:rPr>
        <w:t>（二）2017年度公务用车运行维护费支出2.49万元。</w:t>
      </w:r>
      <w:r>
        <w:rPr>
          <w:rFonts w:hint="eastAsia"/>
        </w:rPr>
        <w:t xml:space="preserve"> </w:t>
      </w:r>
      <w:r>
        <w:rPr>
          <w:rFonts w:hint="eastAsia" w:asciiTheme="minorEastAsia" w:hAnsiTheme="minorEastAsia"/>
          <w:sz w:val="32"/>
          <w:szCs w:val="32"/>
        </w:rPr>
        <w:t>本年度我单位公务用车1辆。与2016年度相比，公务用车运行维护费减少0.01万元，减少0.4%；与年初预算相比， 减少0.01万元，减少0.4%。主要原因是加强公务用车管理，切实压缩公务用车费用支出。我单位2017年度没有购置公务用车，未发生公务用车购置费，较年初预算和2016年决算无增减变化。</w:t>
      </w:r>
    </w:p>
    <w:p w14:paraId="570C808F">
      <w:pPr>
        <w:ind w:firstLine="643" w:firstLineChars="200"/>
        <w:rPr>
          <w:rFonts w:asciiTheme="minorEastAsia" w:hAnsiTheme="minorEastAsia"/>
          <w:sz w:val="32"/>
          <w:szCs w:val="32"/>
        </w:rPr>
      </w:pPr>
      <w:r>
        <w:rPr>
          <w:rFonts w:hint="eastAsia" w:asciiTheme="minorEastAsia" w:hAnsiTheme="minorEastAsia"/>
          <w:b/>
          <w:sz w:val="32"/>
          <w:szCs w:val="32"/>
        </w:rPr>
        <w:t>（三）2017年度公务接待费支出0万元。</w:t>
      </w:r>
      <w:r>
        <w:rPr>
          <w:rFonts w:hint="eastAsia" w:asciiTheme="minorEastAsia" w:hAnsiTheme="minorEastAsia"/>
          <w:sz w:val="32"/>
          <w:szCs w:val="32"/>
        </w:rPr>
        <w:t>本年度公务接待共0次，较2016年决算无增减变化；较年初预算减少0.4万元，减少14%。公务接待费为0的原因主要是， 2017年从严落实公务接待有关规定，压缩公务接待费用支出。</w:t>
      </w:r>
    </w:p>
    <w:p w14:paraId="1A89FB5B">
      <w:pPr>
        <w:rPr>
          <w:b/>
          <w:sz w:val="36"/>
          <w:szCs w:val="36"/>
        </w:rPr>
      </w:pPr>
      <w:r>
        <w:rPr>
          <w:rFonts w:hint="eastAsia"/>
          <w:b/>
          <w:sz w:val="36"/>
          <w:szCs w:val="36"/>
        </w:rPr>
        <w:t>六、 绩效预算管理工作开展情况说明</w:t>
      </w:r>
    </w:p>
    <w:p w14:paraId="74D0CC33">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shd w:val="clear" w:color="FFFFFF" w:fill="D9D9D9"/>
          <w:lang w:val="en-US" w:eastAsia="zh-CN"/>
        </w:rPr>
        <w:t>(一）绩效管理工作开展情况</w:t>
      </w:r>
      <w:r>
        <w:rPr>
          <w:rFonts w:hint="eastAsia" w:asciiTheme="minorEastAsia" w:hAnsiTheme="minorEastAsia"/>
          <w:sz w:val="32"/>
          <w:szCs w:val="32"/>
          <w:lang w:val="en-US" w:eastAsia="zh-CN"/>
        </w:rPr>
        <w:t xml:space="preserve">  </w:t>
      </w: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w:t>
      </w:r>
      <w:r>
        <w:rPr>
          <w:rFonts w:hint="eastAsia" w:asciiTheme="minorEastAsia" w:hAnsiTheme="minorEastAsia"/>
          <w:sz w:val="32"/>
          <w:szCs w:val="32"/>
          <w:lang w:eastAsia="zh-CN"/>
        </w:rPr>
        <w:t>。</w:t>
      </w:r>
      <w:r>
        <w:rPr>
          <w:rFonts w:hint="eastAsia" w:asciiTheme="minorEastAsia" w:hAnsiTheme="minorEastAsia"/>
          <w:sz w:val="32"/>
          <w:szCs w:val="32"/>
        </w:rPr>
        <w:t>我单位以绩效为导向，预算支出管理较为规范，能按照有关规章制度开展工作；重大支出项目立项规范，资金到位及时，资金使用较合理规范，实现了部门职责绩效目标</w:t>
      </w:r>
      <w:r>
        <w:rPr>
          <w:rFonts w:hint="eastAsia" w:asciiTheme="minorEastAsia" w:hAnsiTheme="minorEastAsia"/>
          <w:sz w:val="32"/>
          <w:szCs w:val="32"/>
          <w:lang w:eastAsia="zh-CN"/>
        </w:rPr>
        <w:t>。</w:t>
      </w:r>
      <w:r>
        <w:rPr>
          <w:rFonts w:hint="eastAsia" w:asciiTheme="minorEastAsia" w:hAnsiTheme="minorEastAsia"/>
          <w:sz w:val="32"/>
          <w:szCs w:val="32"/>
        </w:rPr>
        <w:t>根据中国石家庄市委全面深化改革领导小组办公室《关于推进绩效预算管理改革情况的督察通报》（石改革办字[2018]25号），</w:t>
      </w:r>
      <w:r>
        <w:rPr>
          <w:rFonts w:hint="eastAsia" w:asciiTheme="minorEastAsia" w:hAnsiTheme="minorEastAsia"/>
          <w:sz w:val="32"/>
          <w:szCs w:val="32"/>
          <w:lang w:eastAsia="zh-CN"/>
        </w:rPr>
        <w:t>考核结果为优秀。</w:t>
      </w:r>
    </w:p>
    <w:p w14:paraId="421559B0">
      <w:pPr>
        <w:ind w:firstLine="640" w:firstLineChars="200"/>
        <w:rPr>
          <w:rFonts w:asciiTheme="minorEastAsia" w:hAnsiTheme="minorEastAsia"/>
          <w:sz w:val="32"/>
          <w:szCs w:val="32"/>
        </w:rPr>
      </w:pPr>
      <w:r>
        <w:rPr>
          <w:rFonts w:hint="eastAsia" w:asciiTheme="minorEastAsia" w:hAnsiTheme="minorEastAsia"/>
          <w:sz w:val="32"/>
          <w:szCs w:val="32"/>
          <w:shd w:val="clear" w:color="FFFFFF" w:fill="D9D9D9"/>
        </w:rPr>
        <w:t>（二）预算项目绩效评价开展情况</w:t>
      </w:r>
      <w:r>
        <w:rPr>
          <w:rFonts w:hint="eastAsia" w:asciiTheme="minorEastAsia" w:hAnsiTheme="minorEastAsia"/>
          <w:sz w:val="32"/>
          <w:szCs w:val="32"/>
          <w:lang w:val="en-US" w:eastAsia="zh-CN"/>
        </w:rPr>
        <w:t xml:space="preserve">  </w:t>
      </w:r>
      <w:r>
        <w:rPr>
          <w:rFonts w:hint="eastAsia" w:asciiTheme="minorEastAsia" w:hAnsiTheme="minorEastAsia"/>
          <w:sz w:val="32"/>
          <w:szCs w:val="32"/>
        </w:rPr>
        <w:t>根据预算绩效管理要求，本单位组织对2017年度一般公共预算项目支出全面开展绩效自评，涉及</w:t>
      </w:r>
      <w:r>
        <w:rPr>
          <w:rFonts w:hint="eastAsia" w:asciiTheme="minorEastAsia" w:hAnsiTheme="minorEastAsia"/>
          <w:sz w:val="32"/>
          <w:szCs w:val="32"/>
          <w:lang w:eastAsia="zh-CN"/>
        </w:rPr>
        <w:t>报纸出版印刷发行和新媒体两</w:t>
      </w:r>
      <w:r>
        <w:rPr>
          <w:rFonts w:hint="eastAsia" w:asciiTheme="minorEastAsia" w:hAnsiTheme="minorEastAsia"/>
          <w:sz w:val="32"/>
          <w:szCs w:val="32"/>
        </w:rPr>
        <w:t>个项目，涉及资金</w:t>
      </w:r>
      <w:r>
        <w:rPr>
          <w:rFonts w:hint="eastAsia" w:asciiTheme="minorEastAsia" w:hAnsiTheme="minorEastAsia"/>
          <w:sz w:val="32"/>
          <w:szCs w:val="32"/>
          <w:lang w:val="en-US" w:eastAsia="zh-CN"/>
        </w:rPr>
        <w:t>34</w:t>
      </w:r>
      <w:r>
        <w:rPr>
          <w:rFonts w:hint="eastAsia" w:asciiTheme="minorEastAsia" w:hAnsiTheme="minorEastAsia"/>
          <w:sz w:val="32"/>
          <w:szCs w:val="32"/>
        </w:rPr>
        <w:t>万元。从评价情况看，报纸出版印刷发行评价等级为优；新媒体评价等级为优。</w:t>
      </w:r>
    </w:p>
    <w:p w14:paraId="669020E6">
      <w:pPr>
        <w:ind w:firstLine="640" w:firstLineChars="200"/>
        <w:rPr>
          <w:rFonts w:hint="eastAsia" w:ascii="仿宋_GB2312" w:eastAsia="仿宋_GB2312" w:cs="DengXian-Regular"/>
          <w:color w:val="auto"/>
          <w:sz w:val="32"/>
          <w:szCs w:val="32"/>
          <w:highlight w:val="none"/>
          <w:shd w:val="pct10" w:color="auto" w:fill="FFFFFF"/>
        </w:rPr>
      </w:pPr>
      <w:r>
        <w:rPr>
          <w:rFonts w:hint="eastAsia" w:ascii="仿宋_GB2312" w:eastAsia="仿宋_GB2312" w:cs="DengXian-Regular"/>
          <w:color w:val="auto"/>
          <w:sz w:val="32"/>
          <w:szCs w:val="32"/>
          <w:highlight w:val="none"/>
          <w:shd w:val="pct10" w:color="auto" w:fill="FFFFFF"/>
        </w:rPr>
        <w:t>（三）预算项目绩效自评选例</w:t>
      </w:r>
    </w:p>
    <w:p w14:paraId="659C89BF">
      <w:pPr>
        <w:ind w:firstLine="640" w:firstLineChars="200"/>
        <w:rPr>
          <w:rFonts w:hint="eastAsia" w:asciiTheme="minorEastAsia" w:hAnsiTheme="minorEastAsia"/>
          <w:sz w:val="32"/>
          <w:szCs w:val="32"/>
        </w:rPr>
      </w:pPr>
      <w:r>
        <w:rPr>
          <w:rFonts w:hint="eastAsia" w:asciiTheme="minorEastAsia" w:hAnsiTheme="minorEastAsia"/>
          <w:sz w:val="32"/>
          <w:szCs w:val="32"/>
        </w:rPr>
        <w:t>本单位无民生项目和重点支出项目。</w:t>
      </w:r>
    </w:p>
    <w:p w14:paraId="19BD5BDE">
      <w:pPr>
        <w:ind w:firstLine="723" w:firstLineChars="200"/>
        <w:rPr>
          <w:b/>
          <w:sz w:val="36"/>
          <w:szCs w:val="36"/>
        </w:rPr>
      </w:pPr>
      <w:r>
        <w:rPr>
          <w:rFonts w:hint="eastAsia"/>
          <w:b/>
          <w:sz w:val="36"/>
          <w:szCs w:val="36"/>
        </w:rPr>
        <w:t>七、 其他重要事项的说明</w:t>
      </w:r>
    </w:p>
    <w:p w14:paraId="5067C459">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30BAD728">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2017年本部门机关运行经费40.68万元，比2016年度减少2.67万元，减少6%。主要原因是，2017年度部门工作任务比2016年度减少，因此差旅费支出随之减少。</w:t>
      </w:r>
    </w:p>
    <w:p w14:paraId="1719616B">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3BE7E3A2">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2017年本部门政府采购支出总额0万元。</w:t>
      </w:r>
    </w:p>
    <w:p w14:paraId="331231FE">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558DE2A4">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31日，本部门共有车辆1 辆，其中，一般公务用车 1 辆、一般执法执勤用车 0 辆、其他用车 0辆；没有单价 50 万元以上的大型设备。</w:t>
      </w:r>
    </w:p>
    <w:p w14:paraId="3CD3C4D0">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62F6901C">
      <w:pPr>
        <w:rPr>
          <w:b/>
          <w:sz w:val="36"/>
          <w:szCs w:val="36"/>
        </w:rPr>
      </w:pPr>
      <w:r>
        <w:rPr>
          <w:rFonts w:hint="eastAsia"/>
          <w:b/>
          <w:sz w:val="36"/>
          <w:szCs w:val="36"/>
        </w:rPr>
        <w:t>一、 财政拨款收入</w:t>
      </w:r>
    </w:p>
    <w:p w14:paraId="3078E33B">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74907648">
      <w:pPr>
        <w:rPr>
          <w:b/>
          <w:sz w:val="36"/>
          <w:szCs w:val="36"/>
        </w:rPr>
      </w:pPr>
      <w:r>
        <w:rPr>
          <w:rFonts w:hint="eastAsia"/>
          <w:b/>
          <w:sz w:val="36"/>
          <w:szCs w:val="36"/>
        </w:rPr>
        <w:t>二、 事业收入</w:t>
      </w:r>
    </w:p>
    <w:p w14:paraId="18877D75">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60EB5A53">
      <w:pPr>
        <w:rPr>
          <w:b/>
          <w:sz w:val="36"/>
          <w:szCs w:val="36"/>
        </w:rPr>
      </w:pPr>
      <w:r>
        <w:rPr>
          <w:rFonts w:hint="eastAsia"/>
          <w:b/>
          <w:sz w:val="36"/>
          <w:szCs w:val="36"/>
        </w:rPr>
        <w:t>三、 其他收入</w:t>
      </w:r>
    </w:p>
    <w:p w14:paraId="48F3B6D5">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6041C8D0">
      <w:pPr>
        <w:rPr>
          <w:b/>
          <w:sz w:val="36"/>
          <w:szCs w:val="36"/>
        </w:rPr>
      </w:pPr>
      <w:r>
        <w:rPr>
          <w:rFonts w:hint="eastAsia"/>
          <w:b/>
          <w:sz w:val="36"/>
          <w:szCs w:val="36"/>
        </w:rPr>
        <w:t>四、 用事业基金弥补收支差额</w:t>
      </w:r>
    </w:p>
    <w:p w14:paraId="2D897EAF">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60F58F59">
      <w:pPr>
        <w:rPr>
          <w:b/>
          <w:sz w:val="36"/>
          <w:szCs w:val="36"/>
        </w:rPr>
      </w:pPr>
      <w:r>
        <w:rPr>
          <w:rFonts w:hint="eastAsia"/>
          <w:b/>
          <w:sz w:val="36"/>
          <w:szCs w:val="36"/>
        </w:rPr>
        <w:t>五、 年初结转和结余</w:t>
      </w:r>
    </w:p>
    <w:p w14:paraId="4BA86103">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2655E515">
      <w:pPr>
        <w:rPr>
          <w:b/>
          <w:sz w:val="36"/>
          <w:szCs w:val="36"/>
        </w:rPr>
      </w:pPr>
      <w:r>
        <w:rPr>
          <w:rFonts w:hint="eastAsia"/>
          <w:b/>
          <w:sz w:val="36"/>
          <w:szCs w:val="36"/>
        </w:rPr>
        <w:t>六、 结余分配</w:t>
      </w:r>
    </w:p>
    <w:p w14:paraId="15A3EE7D">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2C3A0B46">
      <w:pPr>
        <w:rPr>
          <w:b/>
          <w:sz w:val="36"/>
          <w:szCs w:val="36"/>
        </w:rPr>
      </w:pPr>
      <w:r>
        <w:rPr>
          <w:rFonts w:hint="eastAsia"/>
          <w:b/>
          <w:sz w:val="36"/>
          <w:szCs w:val="36"/>
        </w:rPr>
        <w:t>七、 年末结转和结余</w:t>
      </w:r>
    </w:p>
    <w:p w14:paraId="253FD012">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1FA5DD13">
      <w:pPr>
        <w:rPr>
          <w:b/>
          <w:sz w:val="36"/>
          <w:szCs w:val="36"/>
        </w:rPr>
      </w:pPr>
      <w:r>
        <w:rPr>
          <w:rFonts w:hint="eastAsia"/>
          <w:b/>
          <w:sz w:val="36"/>
          <w:szCs w:val="36"/>
        </w:rPr>
        <w:t>八、 基本支出</w:t>
      </w:r>
    </w:p>
    <w:p w14:paraId="53945024">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405D6174">
      <w:pPr>
        <w:rPr>
          <w:b/>
          <w:sz w:val="36"/>
          <w:szCs w:val="36"/>
        </w:rPr>
      </w:pPr>
      <w:r>
        <w:rPr>
          <w:rFonts w:hint="eastAsia"/>
          <w:b/>
          <w:sz w:val="36"/>
          <w:szCs w:val="36"/>
        </w:rPr>
        <w:t>九、 项目支出</w:t>
      </w:r>
    </w:p>
    <w:p w14:paraId="376F81A0">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4557D1AC">
      <w:pPr>
        <w:rPr>
          <w:b/>
          <w:sz w:val="36"/>
          <w:szCs w:val="36"/>
        </w:rPr>
      </w:pPr>
      <w:r>
        <w:rPr>
          <w:rFonts w:hint="eastAsia"/>
          <w:b/>
          <w:sz w:val="36"/>
          <w:szCs w:val="36"/>
        </w:rPr>
        <w:t>十、 基本建设支出</w:t>
      </w:r>
    </w:p>
    <w:p w14:paraId="6D258C14">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E2C7323">
      <w:pPr>
        <w:rPr>
          <w:b/>
          <w:sz w:val="36"/>
          <w:szCs w:val="36"/>
        </w:rPr>
      </w:pPr>
      <w:r>
        <w:rPr>
          <w:rFonts w:hint="eastAsia"/>
          <w:b/>
          <w:sz w:val="36"/>
          <w:szCs w:val="36"/>
        </w:rPr>
        <w:t>十一、 其他资本性支出</w:t>
      </w:r>
    </w:p>
    <w:p w14:paraId="78BA724E">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1F5BA9F9">
      <w:pPr>
        <w:rPr>
          <w:b/>
          <w:sz w:val="36"/>
          <w:szCs w:val="36"/>
        </w:rPr>
      </w:pPr>
      <w:r>
        <w:rPr>
          <w:rFonts w:hint="eastAsia"/>
          <w:b/>
          <w:sz w:val="36"/>
          <w:szCs w:val="36"/>
        </w:rPr>
        <w:t>十二、 “ 三公” 经费</w:t>
      </w:r>
    </w:p>
    <w:p w14:paraId="6325AEC7">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3B233B3F">
      <w:pPr>
        <w:rPr>
          <w:b/>
          <w:sz w:val="36"/>
          <w:szCs w:val="36"/>
        </w:rPr>
      </w:pPr>
      <w:r>
        <w:rPr>
          <w:rFonts w:hint="eastAsia"/>
          <w:b/>
          <w:sz w:val="36"/>
          <w:szCs w:val="36"/>
        </w:rPr>
        <w:t>十三、 其他交通费用</w:t>
      </w:r>
    </w:p>
    <w:p w14:paraId="0E6444C5">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6E0C872D">
      <w:pPr>
        <w:rPr>
          <w:b/>
          <w:sz w:val="36"/>
          <w:szCs w:val="36"/>
        </w:rPr>
      </w:pPr>
      <w:r>
        <w:rPr>
          <w:rFonts w:hint="eastAsia"/>
          <w:b/>
          <w:sz w:val="36"/>
          <w:szCs w:val="36"/>
        </w:rPr>
        <w:t>十四、 公务用车购置</w:t>
      </w:r>
    </w:p>
    <w:p w14:paraId="73929F3C">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19C0C7FF">
      <w:pPr>
        <w:rPr>
          <w:b/>
          <w:sz w:val="36"/>
          <w:szCs w:val="36"/>
        </w:rPr>
      </w:pPr>
      <w:r>
        <w:rPr>
          <w:rFonts w:hint="eastAsia"/>
          <w:b/>
          <w:sz w:val="36"/>
          <w:szCs w:val="36"/>
        </w:rPr>
        <w:t>十五、 其他交通工具购置</w:t>
      </w:r>
    </w:p>
    <w:p w14:paraId="685B694A">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1A0DF276">
      <w:pPr>
        <w:rPr>
          <w:b/>
          <w:sz w:val="36"/>
          <w:szCs w:val="36"/>
        </w:rPr>
      </w:pPr>
      <w:r>
        <w:rPr>
          <w:rFonts w:hint="eastAsia"/>
          <w:b/>
          <w:sz w:val="36"/>
          <w:szCs w:val="36"/>
        </w:rPr>
        <w:t>十六、 机关运行经费</w:t>
      </w:r>
    </w:p>
    <w:p w14:paraId="6AF4E51E">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145F3E0">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atang">
    <w:altName w:val="Malgun Gothic"/>
    <w:panose1 w:val="02030600000101010101"/>
    <w:charset w:val="81"/>
    <w:family w:val="auto"/>
    <w:pitch w:val="default"/>
    <w:sig w:usb0="00000000" w:usb1="00000000" w:usb2="00000030" w:usb3="00000000" w:csb0="4008009F" w:csb1="DFD70000"/>
  </w:font>
  <w:font w:name="仿宋_GB2312">
    <w:altName w:val="仿宋"/>
    <w:panose1 w:val="02010609030101010101"/>
    <w:charset w:val="86"/>
    <w:family w:val="modern"/>
    <w:pitch w:val="default"/>
    <w:sig w:usb0="00000000" w:usb1="00000000" w:usb2="0000001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376D8"/>
    <w:rsid w:val="00073A3E"/>
    <w:rsid w:val="000C1629"/>
    <w:rsid w:val="000F6B63"/>
    <w:rsid w:val="00127201"/>
    <w:rsid w:val="00154CFB"/>
    <w:rsid w:val="00172F4B"/>
    <w:rsid w:val="001C2AA1"/>
    <w:rsid w:val="002154B6"/>
    <w:rsid w:val="00225112"/>
    <w:rsid w:val="002360A6"/>
    <w:rsid w:val="0029221F"/>
    <w:rsid w:val="00292C27"/>
    <w:rsid w:val="003015AB"/>
    <w:rsid w:val="0033203F"/>
    <w:rsid w:val="00380505"/>
    <w:rsid w:val="00383DF5"/>
    <w:rsid w:val="003938FE"/>
    <w:rsid w:val="00396F4E"/>
    <w:rsid w:val="004240ED"/>
    <w:rsid w:val="00430474"/>
    <w:rsid w:val="00447D7A"/>
    <w:rsid w:val="004743DA"/>
    <w:rsid w:val="004E5859"/>
    <w:rsid w:val="005651CC"/>
    <w:rsid w:val="005A0D09"/>
    <w:rsid w:val="005B640A"/>
    <w:rsid w:val="0065046D"/>
    <w:rsid w:val="006A4621"/>
    <w:rsid w:val="0073228C"/>
    <w:rsid w:val="007345D2"/>
    <w:rsid w:val="007366E2"/>
    <w:rsid w:val="00740959"/>
    <w:rsid w:val="007425DE"/>
    <w:rsid w:val="00776480"/>
    <w:rsid w:val="007B3F47"/>
    <w:rsid w:val="007D25CA"/>
    <w:rsid w:val="00825B2F"/>
    <w:rsid w:val="00966E2C"/>
    <w:rsid w:val="009D31F4"/>
    <w:rsid w:val="00A14AF7"/>
    <w:rsid w:val="00A711B9"/>
    <w:rsid w:val="00A72965"/>
    <w:rsid w:val="00AA30B9"/>
    <w:rsid w:val="00B75291"/>
    <w:rsid w:val="00C15A1F"/>
    <w:rsid w:val="00DF6B2A"/>
    <w:rsid w:val="00E47958"/>
    <w:rsid w:val="00E62D27"/>
    <w:rsid w:val="00E6492B"/>
    <w:rsid w:val="00EA73A9"/>
    <w:rsid w:val="00F435DB"/>
    <w:rsid w:val="00F84164"/>
    <w:rsid w:val="00F9315F"/>
    <w:rsid w:val="00FD214C"/>
    <w:rsid w:val="00FE5519"/>
    <w:rsid w:val="00FE754E"/>
    <w:rsid w:val="00FF2E7F"/>
    <w:rsid w:val="0DCD628C"/>
    <w:rsid w:val="4A7F6CFE"/>
    <w:rsid w:val="53A061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2"/>
    <w:semiHidden/>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0"/>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10">
    <w:name w:val="Title"/>
    <w:basedOn w:val="1"/>
    <w:next w:val="1"/>
    <w:link w:val="18"/>
    <w:qFormat/>
    <w:uiPriority w:val="10"/>
    <w:pPr>
      <w:spacing w:before="240" w:after="60"/>
      <w:jc w:val="center"/>
      <w:outlineLvl w:val="0"/>
    </w:pPr>
    <w:rPr>
      <w:rFonts w:eastAsia="宋体" w:asciiTheme="majorHAnsi" w:hAnsiTheme="majorHAnsi" w:cstheme="majorBidi"/>
      <w:b/>
      <w:bCs/>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character" w:customStyle="1" w:styleId="16">
    <w:name w:val="标题 1 Char"/>
    <w:basedOn w:val="13"/>
    <w:link w:val="2"/>
    <w:qFormat/>
    <w:uiPriority w:val="9"/>
    <w:rPr>
      <w:b/>
      <w:bCs/>
      <w:kern w:val="44"/>
      <w:sz w:val="44"/>
      <w:szCs w:val="44"/>
    </w:rPr>
  </w:style>
  <w:style w:type="character" w:customStyle="1" w:styleId="17">
    <w:name w:val="标题 2 Char"/>
    <w:basedOn w:val="13"/>
    <w:link w:val="3"/>
    <w:qFormat/>
    <w:uiPriority w:val="9"/>
    <w:rPr>
      <w:rFonts w:asciiTheme="majorHAnsi" w:hAnsiTheme="majorHAnsi" w:eastAsiaTheme="majorEastAsia" w:cstheme="majorBidi"/>
      <w:b/>
      <w:bCs/>
      <w:sz w:val="32"/>
      <w:szCs w:val="32"/>
    </w:rPr>
  </w:style>
  <w:style w:type="character" w:customStyle="1" w:styleId="18">
    <w:name w:val="标题 Char"/>
    <w:basedOn w:val="13"/>
    <w:link w:val="10"/>
    <w:qFormat/>
    <w:uiPriority w:val="10"/>
    <w:rPr>
      <w:rFonts w:eastAsia="宋体" w:asciiTheme="majorHAnsi" w:hAnsiTheme="majorHAnsi" w:cstheme="majorBidi"/>
      <w:b/>
      <w:bCs/>
      <w:sz w:val="32"/>
      <w:szCs w:val="32"/>
    </w:rPr>
  </w:style>
  <w:style w:type="character" w:customStyle="1" w:styleId="19">
    <w:name w:val="标题 3 Char"/>
    <w:basedOn w:val="13"/>
    <w:link w:val="4"/>
    <w:qFormat/>
    <w:uiPriority w:val="9"/>
    <w:rPr>
      <w:b/>
      <w:bCs/>
      <w:sz w:val="32"/>
      <w:szCs w:val="32"/>
    </w:rPr>
  </w:style>
  <w:style w:type="character" w:customStyle="1" w:styleId="20">
    <w:name w:val="副标题 Char"/>
    <w:basedOn w:val="13"/>
    <w:link w:val="9"/>
    <w:qFormat/>
    <w:uiPriority w:val="11"/>
    <w:rPr>
      <w:rFonts w:eastAsia="宋体" w:asciiTheme="majorHAnsi" w:hAnsiTheme="majorHAnsi" w:cstheme="majorBidi"/>
      <w:b/>
      <w:bCs/>
      <w:kern w:val="28"/>
      <w:sz w:val="32"/>
      <w:szCs w:val="32"/>
    </w:rPr>
  </w:style>
  <w:style w:type="character" w:customStyle="1" w:styleId="21">
    <w:name w:val="标题 4 Char"/>
    <w:basedOn w:val="13"/>
    <w:link w:val="5"/>
    <w:qFormat/>
    <w:uiPriority w:val="9"/>
    <w:rPr>
      <w:rFonts w:asciiTheme="majorHAnsi" w:hAnsiTheme="majorHAnsi" w:eastAsiaTheme="majorEastAsia" w:cstheme="majorBidi"/>
      <w:b/>
      <w:bCs/>
      <w:sz w:val="28"/>
      <w:szCs w:val="28"/>
    </w:rPr>
  </w:style>
  <w:style w:type="character" w:customStyle="1" w:styleId="22">
    <w:name w:val="批注框文本 Char"/>
    <w:basedOn w:val="13"/>
    <w:link w:val="6"/>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收入决算</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决算收入</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tx>
                <c:rich>
                  <a:bodyPr rot="0" spcFirstLastPara="1" vertOverflow="ellipsis" vert="horz" wrap="square" lIns="38100" tIns="19050" rIns="38100" bIns="19050" anchor="ctr" anchorCtr="1"/>
                  <a:lstStyle/>
                  <a:p>
                    <a:fld id="{f61daa6b-e171-4f08-9ca4-7513c2c17f2f}" type="VALUE">
                      <a:t>[VALUE]</a:t>
                    </a:fld>
                    <a:endParaRPr b="0" i="0" u="none" strike="noStrike" baseline="0">
                      <a:latin typeface="Times New Roman" panose="02020603050405020304" charset="0"/>
                      <a:ea typeface="Times New Roman" panose="02020603050405020304" charset="0"/>
                      <a:cs typeface="+mn-ea"/>
                    </a:endParaRPr>
                  </a:p>
                </c:rich>
              </c:tx>
              <c:dLblPos val="bestFit"/>
              <c:showLegendKey val="0"/>
              <c:showVal val="1"/>
              <c:showCatName val="0"/>
              <c:showSerName val="0"/>
              <c:showPercent val="1"/>
              <c:showBubbleSize val="0"/>
              <c:extLst>
                <c:ext xmlns:c15="http://schemas.microsoft.com/office/drawing/2012/chart" uri="{CE6537A1-D6FC-4f65-9D91-7224C49458BB}"/>
              </c:extLst>
            </c:dLbl>
            <c:dLbl>
              <c:idx val="1"/>
              <c:delete val="1"/>
            </c:dLbl>
            <c:dLbl>
              <c:idx val="2"/>
              <c:layout/>
              <c:tx>
                <c:rich>
                  <a:bodyPr rot="0" spcFirstLastPara="1" vertOverflow="ellipsis" vert="horz" wrap="square" lIns="38100" tIns="19050" rIns="38100" bIns="19050" anchor="ctr" anchorCtr="1"/>
                  <a:lstStyle/>
                  <a:p>
                    <a:fld id="{b7c2afcd-298d-4d70-b9ad-2029d195802d}" type="CATEGORYNAME">
                      <a:t>[CATEGORY NAME]</a:t>
                    </a:fld>
                    <a:r>
                      <a:t>,</a:t>
                    </a:r>
                    <a:fld id="{89639d92-fbb4-430a-883e-70a9cb1e3f01}" type="VALUE">
                      <a:t>[VALUE]</a:t>
                    </a:fld>
                    <a:endParaRPr b="0" i="0" u="none" strike="noStrike" baseline="0">
                      <a:latin typeface="Times New Roman" panose="02020603050405020304" charset="0"/>
                      <a:ea typeface="Times New Roman" panose="02020603050405020304" charset="0"/>
                      <a:cs typeface="+mn-ea"/>
                    </a:endParaRPr>
                  </a:p>
                </c:rich>
              </c:tx>
              <c:dLblPos val="bestFit"/>
              <c:showLegendKey val="0"/>
              <c:showVal val="1"/>
              <c:showCatName val="1"/>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财政拨款收入</c:v>
                </c:pt>
                <c:pt idx="1">
                  <c:v>事业收入</c:v>
                </c:pt>
                <c:pt idx="2">
                  <c:v>其他收入</c:v>
                </c:pt>
              </c:strCache>
            </c:strRef>
          </c:cat>
          <c:val>
            <c:numRef>
              <c:f>Sheet1!$B$2:$B$4</c:f>
              <c:numCache>
                <c:formatCode>General</c:formatCode>
                <c:ptCount val="3"/>
                <c:pt idx="0">
                  <c:v>165.48</c:v>
                </c:pt>
                <c:pt idx="1">
                  <c:v>0</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支出决算</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tx>
                <c:rich>
                  <a:bodyPr rot="0" spcFirstLastPara="1" vertOverflow="ellipsis" vert="horz" wrap="square" lIns="38100" tIns="19050" rIns="38100" bIns="19050" anchor="ctr" anchorCtr="1"/>
                  <a:lstStyle/>
                  <a:p>
                    <a:fld id="{5df08cb7-0460-4188-8d6a-310153fb6445}" type="VALUE">
                      <a:t>[VALUE]</a:t>
                    </a:fld>
                    <a:endParaRPr b="0" i="0" u="none" strike="noStrike" baseline="0">
                      <a:latin typeface="Times New Roman" panose="02020603050405020304" charset="0"/>
                      <a:ea typeface="Times New Roman" panose="02020603050405020304" charset="0"/>
                      <a:cs typeface="+mn-ea"/>
                    </a:endParaRPr>
                  </a:p>
                </c:rich>
              </c:tx>
              <c:dLblPos val="bestFit"/>
              <c:showLegendKey val="0"/>
              <c:showVal val="1"/>
              <c:showCatName val="0"/>
              <c:showSerName val="0"/>
              <c:showPercent val="1"/>
              <c:showBubbleSize val="0"/>
              <c:extLst>
                <c:ext xmlns:c15="http://schemas.microsoft.com/office/drawing/2012/chart" uri="{CE6537A1-D6FC-4f65-9D91-7224C49458BB}"/>
              </c:extLst>
            </c:dLbl>
            <c:dLbl>
              <c:idx val="1"/>
              <c:delete val="1"/>
            </c:dLbl>
            <c:dLbl>
              <c:idx val="2"/>
              <c:layout/>
              <c:tx>
                <c:rich>
                  <a:bodyPr rot="0" spcFirstLastPara="1" vertOverflow="ellipsis" vert="horz" wrap="square" lIns="38100" tIns="19050" rIns="38100" bIns="19050" anchor="ctr" anchorCtr="1"/>
                  <a:lstStyle/>
                  <a:p>
                    <a:fld id="{803a4ec8-4175-4b92-8bce-cee528319246}" type="VALUE">
                      <a:t>[VALUE]</a:t>
                    </a:fld>
                    <a:endParaRPr b="0" i="0" u="none" strike="noStrike" baseline="0">
                      <a:latin typeface="Times New Roman" panose="02020603050405020304" charset="0"/>
                      <a:ea typeface="Times New Roman" panose="02020603050405020304" charset="0"/>
                      <a:cs typeface="+mn-ea"/>
                    </a:endParaRP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上缴上级支出</c:v>
                </c:pt>
              </c:strCache>
            </c:strRef>
          </c:cat>
          <c:val>
            <c:numRef>
              <c:f>Sheet1!$B$2:$B$4</c:f>
              <c:numCache>
                <c:formatCode>General</c:formatCode>
                <c:ptCount val="3"/>
                <c:pt idx="0">
                  <c:v>165.48</c:v>
                </c:pt>
                <c:pt idx="1">
                  <c:v>0</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6B150CE-9A76-4027-BD6F-CFCC49EC3B4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14</Pages>
  <Words>4354</Words>
  <Characters>4732</Characters>
  <Lines>35</Lines>
  <Paragraphs>10</Paragraphs>
  <TotalTime>3</TotalTime>
  <ScaleCrop>false</ScaleCrop>
  <LinksUpToDate>false</LinksUpToDate>
  <CharactersWithSpaces>4925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2024-08-09T03:06:36Z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EC620B9297F943FF8390E4E859D2CDC2_12</vt:lpwstr>
  </property>
</Properties>
</file>