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1"/>
        <w:ind w:left="360" w:firstLine="640"/>
        <w:rPr>
          <w:rFonts w:hint="eastAsia"/>
          <w:sz w:val="32"/>
          <w:szCs w:val="32"/>
        </w:rPr>
      </w:pPr>
    </w:p>
    <w:p>
      <w:pPr>
        <w:pStyle w:val="21"/>
        <w:ind w:left="360" w:firstLine="880"/>
        <w:rPr>
          <w:rFonts w:hint="eastAsia"/>
          <w:sz w:val="44"/>
          <w:szCs w:val="44"/>
        </w:rPr>
      </w:pPr>
    </w:p>
    <w:p>
      <w:pPr>
        <w:pStyle w:val="21"/>
        <w:ind w:left="360" w:firstLine="880"/>
        <w:rPr>
          <w:rFonts w:hint="eastAsia"/>
          <w:sz w:val="44"/>
          <w:szCs w:val="44"/>
        </w:rPr>
      </w:pPr>
    </w:p>
    <w:p>
      <w:pPr>
        <w:pStyle w:val="21"/>
        <w:ind w:firstLine="0" w:firstLineChars="0"/>
        <w:rPr>
          <w:rFonts w:hint="eastAsia"/>
          <w:sz w:val="44"/>
          <w:szCs w:val="44"/>
        </w:rPr>
      </w:pPr>
    </w:p>
    <w:p>
      <w:pPr>
        <w:pStyle w:val="21"/>
        <w:ind w:left="0" w:leftChars="0" w:firstLine="0" w:firstLineChars="0"/>
        <w:rPr>
          <w:rFonts w:hint="eastAsia"/>
          <w:sz w:val="72"/>
          <w:szCs w:val="72"/>
        </w:rPr>
      </w:pPr>
    </w:p>
    <w:p>
      <w:pPr>
        <w:pStyle w:val="21"/>
        <w:ind w:left="360" w:firstLine="0" w:firstLineChars="0"/>
        <w:rPr>
          <w:rFonts w:hint="eastAsia" w:ascii="Calibri" w:hAnsi="Calibri" w:eastAsia="宋体" w:cs="Times New Roman"/>
          <w:b/>
          <w:sz w:val="72"/>
          <w:szCs w:val="72"/>
        </w:rPr>
      </w:pPr>
      <w:r>
        <w:rPr>
          <w:rFonts w:hint="eastAsia" w:ascii="Calibri" w:hAnsi="Calibri" w:eastAsia="宋体" w:cs="Times New Roman"/>
          <w:b/>
          <w:sz w:val="72"/>
          <w:szCs w:val="72"/>
        </w:rPr>
        <w:t>2017年度部门决算公开</w:t>
      </w:r>
    </w:p>
    <w:p>
      <w:pPr>
        <w:pStyle w:val="21"/>
        <w:ind w:left="360" w:firstLine="0" w:firstLineChars="0"/>
        <w:rPr>
          <w:rFonts w:hint="eastAsia"/>
          <w:b/>
          <w:sz w:val="72"/>
          <w:szCs w:val="72"/>
        </w:rPr>
      </w:pPr>
    </w:p>
    <w:p>
      <w:pPr>
        <w:pStyle w:val="21"/>
        <w:ind w:left="360" w:firstLine="0" w:firstLineChars="0"/>
        <w:rPr>
          <w:rFonts w:hint="eastAsia"/>
          <w:sz w:val="72"/>
          <w:szCs w:val="72"/>
        </w:rPr>
      </w:pPr>
    </w:p>
    <w:p>
      <w:pPr>
        <w:pStyle w:val="21"/>
        <w:ind w:left="360" w:firstLine="0" w:firstLineChars="0"/>
        <w:rPr>
          <w:rFonts w:hint="eastAsia"/>
          <w:sz w:val="72"/>
          <w:szCs w:val="72"/>
        </w:rPr>
      </w:pPr>
    </w:p>
    <w:p>
      <w:pPr>
        <w:pStyle w:val="21"/>
        <w:ind w:left="360" w:firstLine="0" w:firstLineChars="0"/>
        <w:rPr>
          <w:rFonts w:hint="eastAsia"/>
          <w:sz w:val="72"/>
          <w:szCs w:val="72"/>
        </w:rPr>
      </w:pPr>
    </w:p>
    <w:p>
      <w:pPr>
        <w:rPr>
          <w:rFonts w:hint="eastAsia"/>
          <w:sz w:val="72"/>
          <w:szCs w:val="72"/>
        </w:rPr>
      </w:pPr>
    </w:p>
    <w:p>
      <w:pPr>
        <w:rPr>
          <w:rFonts w:hint="eastAsia"/>
          <w:sz w:val="72"/>
          <w:szCs w:val="72"/>
        </w:rPr>
      </w:pPr>
    </w:p>
    <w:p>
      <w:pPr>
        <w:rPr>
          <w:rFonts w:hint="eastAsia"/>
          <w:sz w:val="72"/>
          <w:szCs w:val="72"/>
        </w:rPr>
      </w:pPr>
    </w:p>
    <w:p>
      <w:pPr>
        <w:pStyle w:val="21"/>
        <w:ind w:left="0" w:leftChars="0" w:firstLine="0" w:firstLineChars="0"/>
        <w:jc w:val="center"/>
        <w:rPr>
          <w:rFonts w:hint="eastAsia" w:eastAsiaTheme="minorEastAsia"/>
          <w:b/>
          <w:sz w:val="44"/>
          <w:szCs w:val="44"/>
          <w:lang w:eastAsia="zh-CN"/>
        </w:rPr>
      </w:pPr>
      <w:r>
        <w:rPr>
          <w:rFonts w:hint="eastAsia"/>
          <w:b/>
          <w:sz w:val="44"/>
          <w:szCs w:val="44"/>
        </w:rPr>
        <w:t>藁城区</w:t>
      </w:r>
      <w:r>
        <w:rPr>
          <w:rFonts w:hint="eastAsia"/>
          <w:b/>
          <w:sz w:val="44"/>
          <w:szCs w:val="44"/>
          <w:lang w:eastAsia="zh-CN"/>
        </w:rPr>
        <w:t>供销合作总社</w:t>
      </w:r>
    </w:p>
    <w:p>
      <w:pPr>
        <w:pStyle w:val="21"/>
        <w:ind w:left="0" w:leftChars="0" w:firstLine="0" w:firstLineChars="0"/>
        <w:jc w:val="center"/>
        <w:rPr>
          <w:b/>
          <w:sz w:val="44"/>
          <w:szCs w:val="44"/>
        </w:rPr>
      </w:pPr>
      <w:r>
        <w:rPr>
          <w:rFonts w:hint="eastAsia"/>
          <w:b/>
          <w:sz w:val="44"/>
          <w:szCs w:val="44"/>
        </w:rPr>
        <w:t>2018年10月</w:t>
      </w:r>
      <w:r>
        <w:rPr>
          <w:rFonts w:hint="eastAsia"/>
          <w:b/>
          <w:sz w:val="44"/>
          <w:szCs w:val="44"/>
          <w:lang w:val="en-US" w:eastAsia="zh-CN"/>
        </w:rPr>
        <w:t>10</w:t>
      </w:r>
      <w:r>
        <w:rPr>
          <w:rFonts w:hint="eastAsia"/>
          <w:b/>
          <w:sz w:val="44"/>
          <w:szCs w:val="44"/>
        </w:rPr>
        <w:t>日</w:t>
      </w:r>
    </w:p>
    <w:p>
      <w:pPr>
        <w:pStyle w:val="2"/>
        <w:jc w:val="center"/>
        <w:rPr>
          <w:rFonts w:hint="eastAsia"/>
        </w:rPr>
        <w:sectPr>
          <w:pgSz w:w="11906" w:h="16838"/>
          <w:pgMar w:top="1440" w:right="1800" w:bottom="1440" w:left="1800" w:header="851" w:footer="992" w:gutter="0"/>
          <w:cols w:space="425" w:num="1"/>
          <w:docGrid w:type="lines" w:linePitch="312" w:charSpace="0"/>
        </w:sectPr>
      </w:pPr>
    </w:p>
    <w:p>
      <w:pPr>
        <w:pStyle w:val="2"/>
        <w:jc w:val="center"/>
      </w:pPr>
      <w:r>
        <w:rPr>
          <w:rFonts w:hint="eastAsia"/>
        </w:rPr>
        <w:t>部门决算公开目录</w:t>
      </w:r>
    </w:p>
    <w:p>
      <w:pPr>
        <w:rPr>
          <w:rFonts w:asciiTheme="minorEastAsia" w:hAnsiTheme="minorEastAsia"/>
          <w:b/>
          <w:sz w:val="36"/>
          <w:szCs w:val="36"/>
        </w:rPr>
      </w:pPr>
      <w:r>
        <w:rPr>
          <w:rFonts w:hint="eastAsia" w:asciiTheme="minorEastAsia" w:hAnsiTheme="minorEastAsia"/>
          <w:b/>
          <w:sz w:val="36"/>
          <w:szCs w:val="36"/>
        </w:rPr>
        <w:t>第一部分 部门概况</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pPr>
        <w:rPr>
          <w:rFonts w:asciiTheme="minorEastAsia" w:hAnsiTheme="minorEastAsia"/>
          <w:b/>
          <w:sz w:val="36"/>
          <w:szCs w:val="36"/>
        </w:rPr>
      </w:pPr>
      <w:r>
        <w:rPr>
          <w:rFonts w:hint="eastAsia" w:asciiTheme="minorEastAsia" w:hAnsiTheme="minorEastAsia"/>
          <w:b/>
          <w:sz w:val="36"/>
          <w:szCs w:val="36"/>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pPr>
        <w:spacing w:line="360" w:lineRule="auto"/>
        <w:ind w:firstLine="1500" w:firstLineChars="500"/>
        <w:rPr>
          <w:sz w:val="30"/>
          <w:szCs w:val="30"/>
        </w:rPr>
      </w:pPr>
      <w:r>
        <w:rPr>
          <w:rFonts w:hint="eastAsia"/>
          <w:sz w:val="30"/>
          <w:szCs w:val="30"/>
        </w:rPr>
        <w:t>1、 机关运行经费情况</w:t>
      </w:r>
    </w:p>
    <w:p>
      <w:pPr>
        <w:spacing w:line="360" w:lineRule="auto"/>
        <w:ind w:firstLine="1500" w:firstLineChars="500"/>
        <w:rPr>
          <w:sz w:val="30"/>
          <w:szCs w:val="30"/>
        </w:rPr>
      </w:pPr>
      <w:r>
        <w:rPr>
          <w:rFonts w:hint="eastAsia"/>
          <w:sz w:val="30"/>
          <w:szCs w:val="30"/>
        </w:rPr>
        <w:t>2、 政府采购情况</w:t>
      </w:r>
    </w:p>
    <w:p>
      <w:pPr>
        <w:spacing w:line="360" w:lineRule="auto"/>
        <w:ind w:firstLine="1500" w:firstLineChars="500"/>
        <w:rPr>
          <w:sz w:val="30"/>
          <w:szCs w:val="30"/>
        </w:rPr>
      </w:pPr>
      <w:r>
        <w:rPr>
          <w:rFonts w:hint="eastAsia"/>
          <w:sz w:val="30"/>
          <w:szCs w:val="30"/>
        </w:rPr>
        <w:t>3、国有资产占用情况</w:t>
      </w:r>
    </w:p>
    <w:p>
      <w:pPr>
        <w:rPr>
          <w:rFonts w:asciiTheme="minorEastAsia" w:hAnsiTheme="minorEastAsia"/>
          <w:b/>
          <w:sz w:val="36"/>
          <w:szCs w:val="36"/>
        </w:rPr>
      </w:pPr>
      <w:r>
        <w:rPr>
          <w:rFonts w:hint="eastAsia" w:asciiTheme="minorEastAsia" w:hAnsiTheme="minorEastAsia"/>
          <w:b/>
          <w:sz w:val="36"/>
          <w:szCs w:val="36"/>
        </w:rPr>
        <w:t>第四部分 名词解释</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pPr>
        <w:spacing w:beforeLines="100" w:afterLines="100" w:line="360" w:lineRule="auto"/>
        <w:jc w:val="center"/>
        <w:rPr>
          <w:rFonts w:hint="eastAsia" w:ascii="宋体" w:hAnsi="宋体" w:eastAsia="宋体"/>
          <w:b/>
          <w:sz w:val="44"/>
          <w:szCs w:val="44"/>
          <w:lang w:eastAsia="zh-CN"/>
        </w:rPr>
      </w:pPr>
      <w:r>
        <w:rPr>
          <w:rFonts w:hint="eastAsia" w:ascii="宋体" w:hAnsi="宋体" w:eastAsia="宋体"/>
          <w:b/>
          <w:sz w:val="44"/>
          <w:szCs w:val="44"/>
          <w:lang w:eastAsia="zh-CN"/>
        </w:rPr>
        <w:t>石家庄市藁城区供销合作总社</w:t>
      </w:r>
    </w:p>
    <w:p>
      <w:pPr>
        <w:spacing w:beforeLines="100" w:afterLines="100" w:line="360" w:lineRule="auto"/>
        <w:jc w:val="center"/>
        <w:rPr>
          <w:rFonts w:hint="eastAsia" w:ascii="宋体" w:hAnsi="宋体" w:eastAsia="宋体"/>
          <w:b/>
          <w:sz w:val="44"/>
          <w:szCs w:val="44"/>
          <w:lang w:val="en-US" w:eastAsia="zh-CN"/>
        </w:rPr>
      </w:pPr>
      <w:r>
        <w:rPr>
          <w:rFonts w:hint="eastAsia" w:ascii="宋体" w:hAnsi="宋体" w:eastAsia="宋体"/>
          <w:b/>
          <w:sz w:val="44"/>
          <w:szCs w:val="44"/>
          <w:lang w:val="en-US" w:eastAsia="zh-CN"/>
        </w:rPr>
        <w:t>2017年部门决算公开信息</w:t>
      </w:r>
    </w:p>
    <w:p>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pPr>
        <w:rPr>
          <w:b/>
          <w:sz w:val="36"/>
          <w:szCs w:val="36"/>
        </w:rPr>
      </w:pPr>
      <w:r>
        <w:rPr>
          <w:rFonts w:hint="eastAsia"/>
          <w:b/>
          <w:sz w:val="36"/>
          <w:szCs w:val="36"/>
        </w:rPr>
        <w:t>一、 部门职责</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主要职责内容</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1、负责对所属企业行政、业务的领导与管理。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2、负责对所属企业生产加工、经营销售等活动的督导与管理。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3、负责对全系统人事调配、劳动工资、离休退休人事管理。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4、负责对所属企业党支部、领导班子的组织、思想作风建设及党员教育、党员发展等工作的管理。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5、负责全系统所属企业资产的管理。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6、负责企业经营销售、财务数字的审计、统计及月报、季报等工作的管理。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7、负责全系统综合治理、安全生产、安全保卫工作管理。</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8、负责对农合联经济组织的协调、服务工作的管理。</w:t>
      </w:r>
    </w:p>
    <w:p>
      <w:pPr>
        <w:rPr>
          <w:rFonts w:asciiTheme="minorEastAsia" w:hAnsiTheme="minorEastAsia"/>
          <w:sz w:val="32"/>
          <w:szCs w:val="32"/>
        </w:rPr>
      </w:pPr>
    </w:p>
    <w:p>
      <w:pPr>
        <w:rPr>
          <w:b/>
          <w:sz w:val="36"/>
          <w:szCs w:val="36"/>
        </w:rPr>
      </w:pPr>
      <w:r>
        <w:rPr>
          <w:rFonts w:hint="eastAsia"/>
          <w:b/>
          <w:sz w:val="36"/>
          <w:szCs w:val="36"/>
        </w:rPr>
        <w:t>二、部门决算单位构成</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sz w:val="24"/>
                <w:szCs w:val="24"/>
              </w:rPr>
            </w:pPr>
            <w:r>
              <w:rPr>
                <w:rFonts w:hint="eastAsia"/>
                <w:sz w:val="24"/>
                <w:szCs w:val="24"/>
              </w:rPr>
              <w:t>单位名称</w:t>
            </w:r>
          </w:p>
        </w:tc>
        <w:tc>
          <w:tcPr>
            <w:tcW w:w="2130" w:type="dxa"/>
            <w:vAlign w:val="center"/>
          </w:tcPr>
          <w:p>
            <w:pPr>
              <w:jc w:val="center"/>
              <w:rPr>
                <w:sz w:val="24"/>
                <w:szCs w:val="24"/>
              </w:rPr>
            </w:pPr>
            <w:r>
              <w:rPr>
                <w:rFonts w:hint="eastAsia"/>
                <w:sz w:val="24"/>
                <w:szCs w:val="24"/>
              </w:rPr>
              <w:t>单位性质</w:t>
            </w:r>
          </w:p>
        </w:tc>
        <w:tc>
          <w:tcPr>
            <w:tcW w:w="2131" w:type="dxa"/>
            <w:vAlign w:val="center"/>
          </w:tcPr>
          <w:p>
            <w:pPr>
              <w:jc w:val="center"/>
              <w:rPr>
                <w:sz w:val="24"/>
                <w:szCs w:val="24"/>
              </w:rPr>
            </w:pPr>
            <w:r>
              <w:rPr>
                <w:rFonts w:hint="eastAsia"/>
                <w:sz w:val="24"/>
                <w:szCs w:val="24"/>
              </w:rPr>
              <w:t>单位规格</w:t>
            </w:r>
          </w:p>
        </w:tc>
        <w:tc>
          <w:tcPr>
            <w:tcW w:w="2131" w:type="dxa"/>
            <w:vAlign w:val="center"/>
          </w:tcPr>
          <w:p>
            <w:pPr>
              <w:jc w:val="center"/>
              <w:rPr>
                <w:sz w:val="24"/>
                <w:szCs w:val="24"/>
              </w:rPr>
            </w:pPr>
            <w:r>
              <w:rPr>
                <w:rFonts w:hint="eastAsia"/>
                <w:sz w:val="24"/>
                <w:szCs w:val="24"/>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sz w:val="24"/>
                <w:szCs w:val="24"/>
              </w:rPr>
            </w:pPr>
            <w:r>
              <w:rPr>
                <w:rFonts w:hint="eastAsia"/>
                <w:sz w:val="24"/>
                <w:szCs w:val="24"/>
              </w:rPr>
              <w:t>石家庄市藁城区供销合作总社</w:t>
            </w:r>
          </w:p>
        </w:tc>
        <w:tc>
          <w:tcPr>
            <w:tcW w:w="2130" w:type="dxa"/>
            <w:vAlign w:val="center"/>
          </w:tcPr>
          <w:p>
            <w:pPr>
              <w:jc w:val="center"/>
              <w:rPr>
                <w:sz w:val="24"/>
                <w:szCs w:val="24"/>
              </w:rPr>
            </w:pPr>
            <w:r>
              <w:rPr>
                <w:rFonts w:hint="eastAsia"/>
                <w:sz w:val="24"/>
                <w:szCs w:val="24"/>
              </w:rPr>
              <w:t>事业</w:t>
            </w:r>
          </w:p>
        </w:tc>
        <w:tc>
          <w:tcPr>
            <w:tcW w:w="2131" w:type="dxa"/>
            <w:vAlign w:val="center"/>
          </w:tcPr>
          <w:p>
            <w:pPr>
              <w:jc w:val="center"/>
              <w:rPr>
                <w:sz w:val="24"/>
                <w:szCs w:val="24"/>
              </w:rPr>
            </w:pPr>
            <w:r>
              <w:rPr>
                <w:rFonts w:hint="eastAsia"/>
                <w:sz w:val="24"/>
                <w:szCs w:val="24"/>
              </w:rPr>
              <w:t>正科级</w:t>
            </w:r>
          </w:p>
        </w:tc>
        <w:tc>
          <w:tcPr>
            <w:tcW w:w="2131" w:type="dxa"/>
            <w:vAlign w:val="center"/>
          </w:tcPr>
          <w:p>
            <w:pPr>
              <w:jc w:val="center"/>
              <w:rPr>
                <w:sz w:val="24"/>
                <w:szCs w:val="24"/>
              </w:rPr>
            </w:pPr>
            <w:r>
              <w:rPr>
                <w:rFonts w:hint="eastAsia"/>
                <w:sz w:val="24"/>
                <w:szCs w:val="24"/>
              </w:rPr>
              <w:t>财政性资金基本保证</w:t>
            </w:r>
          </w:p>
        </w:tc>
      </w:tr>
    </w:tbl>
    <w:p>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spacing w:beforeLines="100" w:afterLines="100" w:line="360" w:lineRule="auto"/>
        <w:rPr>
          <w:rFonts w:ascii="宋体" w:hAnsi="宋体" w:eastAsia="宋体"/>
          <w:b/>
          <w:sz w:val="44"/>
          <w:szCs w:val="44"/>
        </w:rPr>
      </w:pPr>
      <w:r>
        <w:rPr>
          <w:rFonts w:hint="eastAsia" w:ascii="宋体" w:hAnsi="宋体" w:eastAsia="宋体"/>
          <w:b/>
          <w:sz w:val="44"/>
          <w:szCs w:val="44"/>
        </w:rPr>
        <w:t>第三部分 2017年度部门决算情况说明</w:t>
      </w:r>
    </w:p>
    <w:p>
      <w:pPr>
        <w:pStyle w:val="21"/>
        <w:numPr>
          <w:ilvl w:val="0"/>
          <w:numId w:val="1"/>
        </w:numPr>
        <w:ind w:firstLineChars="0"/>
        <w:rPr>
          <w:b/>
          <w:sz w:val="36"/>
          <w:szCs w:val="36"/>
        </w:rPr>
      </w:pPr>
      <w:r>
        <w:rPr>
          <w:rFonts w:hint="eastAsia"/>
          <w:b/>
          <w:sz w:val="36"/>
          <w:szCs w:val="36"/>
        </w:rPr>
        <w:t>收入支出决算总体情况说明</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年度年初结转和结余0万元，本年收入156.87万元，本年支出156.87万元，用事业基金弥补收支差额0万元，结余分配0万元，年末结转和结余0万元。</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与2016 年度决算相比，本年收入增加48.65 万元，增长44.95%；本年支出增加48.65万元，增长44.95%。收支增加的主要原因是，工资、经费增加43.65万元、项目增加5万元。</w:t>
      </w:r>
    </w:p>
    <w:p>
      <w:pPr>
        <w:rPr>
          <w:b/>
          <w:sz w:val="36"/>
          <w:szCs w:val="36"/>
        </w:rPr>
      </w:pPr>
      <w:r>
        <w:rPr>
          <w:rFonts w:hint="eastAsia"/>
          <w:b/>
          <w:sz w:val="36"/>
          <w:szCs w:val="36"/>
        </w:rPr>
        <w:t>二、收入决算情况说明</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年度收入合计156.87 万元，其中：财政拨款收入</w:t>
      </w:r>
    </w:p>
    <w:p>
      <w:pPr>
        <w:autoSpaceDE w:val="0"/>
        <w:autoSpaceDN w:val="0"/>
        <w:adjustRightInd w:val="0"/>
        <w:jc w:val="left"/>
        <w:rPr>
          <w:rFonts w:hint="eastAsia" w:asciiTheme="minorEastAsia" w:hAnsiTheme="minorEastAsia"/>
          <w:sz w:val="32"/>
          <w:szCs w:val="32"/>
        </w:rPr>
      </w:pPr>
      <w:r>
        <w:rPr>
          <w:rFonts w:hint="eastAsia" w:asciiTheme="minorEastAsia" w:hAnsiTheme="minorEastAsia"/>
          <w:sz w:val="32"/>
          <w:szCs w:val="32"/>
        </w:rPr>
        <w:t>156.87 万元，占100%；事业收入0万元，占0%；其他收入0万元，占0%。</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与2016 年度相比，收入增加48.65 万元，其中财政拨款收入增加48.65 万元，事业收入增加0万元，其他收入增加0万元。</w:t>
      </w:r>
    </w:p>
    <w:p>
      <w:pPr>
        <w:autoSpaceDE w:val="0"/>
        <w:autoSpaceDN w:val="0"/>
        <w:adjustRightInd w:val="0"/>
        <w:ind w:firstLine="420" w:firstLineChars="200"/>
        <w:jc w:val="left"/>
        <w:rPr>
          <w:rFonts w:hint="eastAsia" w:asciiTheme="minorEastAsia" w:hAnsiTheme="minorEastAsia"/>
          <w:sz w:val="32"/>
          <w:szCs w:val="32"/>
        </w:rPr>
      </w:pPr>
      <w:r>
        <w:rPr>
          <w:rFonts w:hint="eastAsia"/>
        </w:rPr>
        <w:drawing>
          <wp:inline distT="0" distB="0" distL="114300" distR="114300">
            <wp:extent cx="3580130" cy="2278380"/>
            <wp:effectExtent l="0" t="0" r="1270" b="7620"/>
            <wp:docPr id="3" name="图片 2" descr="极速截图20181217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极速截图201812171400"/>
                    <pic:cNvPicPr>
                      <a:picLocks noChangeAspect="1"/>
                    </pic:cNvPicPr>
                  </pic:nvPicPr>
                  <pic:blipFill>
                    <a:blip r:embed="rId4"/>
                    <a:stretch>
                      <a:fillRect/>
                    </a:stretch>
                  </pic:blipFill>
                  <pic:spPr>
                    <a:xfrm>
                      <a:off x="0" y="0"/>
                      <a:ext cx="3580130" cy="2278380"/>
                    </a:xfrm>
                    <a:prstGeom prst="rect">
                      <a:avLst/>
                    </a:prstGeom>
                    <a:noFill/>
                    <a:ln w="9525">
                      <a:noFill/>
                    </a:ln>
                  </pic:spPr>
                </pic:pic>
              </a:graphicData>
            </a:graphic>
          </wp:inline>
        </w:drawing>
      </w:r>
    </w:p>
    <w:p>
      <w:pPr>
        <w:rPr>
          <w:b/>
          <w:sz w:val="36"/>
          <w:szCs w:val="36"/>
        </w:rPr>
      </w:pPr>
      <w:r>
        <w:rPr>
          <w:rFonts w:hint="eastAsia"/>
          <w:b/>
          <w:sz w:val="36"/>
          <w:szCs w:val="36"/>
        </w:rPr>
        <w:t>三、支出决算情况说明</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年度支出合计156.87万元，其中：基本支出151.87万元，占96.8%；项目支出5万元，占3.2%；上缴上级支出0万元，占0%。</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与2016 年度相比，支出增加48.65 万元，其中基本支出增加43.65万元，项目支出增加5万元。</w:t>
      </w:r>
    </w:p>
    <w:p>
      <w:pPr>
        <w:autoSpaceDE w:val="0"/>
        <w:autoSpaceDN w:val="0"/>
        <w:adjustRightInd w:val="0"/>
        <w:ind w:firstLine="640" w:firstLineChars="200"/>
        <w:jc w:val="left"/>
        <w:rPr>
          <w:rFonts w:hint="eastAsia" w:asciiTheme="minorEastAsia" w:hAnsiTheme="minorEastAsia" w:eastAsiaTheme="minorEastAsia"/>
          <w:sz w:val="32"/>
          <w:szCs w:val="32"/>
          <w:lang w:eastAsia="zh-CN"/>
        </w:rPr>
      </w:pPr>
      <w:r>
        <w:rPr>
          <w:rFonts w:hint="eastAsia" w:asciiTheme="minorEastAsia" w:hAnsiTheme="minorEastAsia" w:eastAsiaTheme="minorEastAsia"/>
          <w:sz w:val="32"/>
          <w:szCs w:val="32"/>
          <w:lang w:eastAsia="zh-CN"/>
        </w:rPr>
        <w:drawing>
          <wp:inline distT="0" distB="0" distL="114300" distR="114300">
            <wp:extent cx="3423285" cy="2352675"/>
            <wp:effectExtent l="4445" t="4445" r="20320" b="508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rPr>
          <w:b/>
          <w:sz w:val="36"/>
          <w:szCs w:val="36"/>
        </w:rPr>
      </w:pPr>
      <w:r>
        <w:rPr>
          <w:rFonts w:hint="eastAsia"/>
          <w:b/>
          <w:sz w:val="36"/>
          <w:szCs w:val="36"/>
        </w:rPr>
        <w:t>四、 财政拨款收入支出决算总体情况说明</w:t>
      </w:r>
    </w:p>
    <w:p>
      <w:pPr>
        <w:rPr>
          <w:b/>
          <w:sz w:val="32"/>
          <w:szCs w:val="32"/>
        </w:rPr>
      </w:pPr>
      <w:r>
        <w:rPr>
          <w:rFonts w:hint="eastAsia"/>
          <w:b/>
          <w:sz w:val="32"/>
          <w:szCs w:val="32"/>
        </w:rPr>
        <w:t>（一）财政拨款收支与2016年度决算对比情况</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年度财政拨款收入156.87万元，其中：一般公共预算拨款156.87万元，政府性基金预算财政拨款0万元。与2016 年度决算相比，财政拨款收入增加48.65万元，其中：一般公共预算拨款收入增加48.65万元，政府性基金预算财政拨款增加0万元。</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年度财政拨款支出156.87万元，其中：一般公共预算拨款支出156.87万元，政府性基金预算财政拨款支出0万元。与2016 年度决算相比，财政拨款支出增加48.65万元，其中：一般公共预算拨款支出增加48.65万元，政府性基金预算财政拨款支出增加0万元。</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年度财政拨款收支比2016 年增加的主要原因是工资、经费增加43.65万元、项目增加5万元。</w:t>
      </w:r>
    </w:p>
    <w:p>
      <w:pPr>
        <w:rPr>
          <w:b/>
          <w:sz w:val="32"/>
          <w:szCs w:val="32"/>
        </w:rPr>
      </w:pPr>
      <w:r>
        <w:rPr>
          <w:rFonts w:hint="eastAsia"/>
          <w:b/>
          <w:sz w:val="32"/>
          <w:szCs w:val="32"/>
        </w:rPr>
        <w:t>（二）财政拨款收支与年初预算数对比情况</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年度，年初预算批复财政拨款收支79.03万元，其中：一般公共预算拨款79.03万元，政府性基金预算财政拨款收支0万元。</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与年初预算相比，财政拨款收入增加77.84万元，增长98.49%，其中：一般公共预算拨款增长77.84万元，政府性基金预算财政拨款增长0万元。财政拨款支出增长77.84万元，增长98.49%，其中：一般公共预算拨款增长77.84万元，政府性基金预算财政拨款增长0万元。</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年度财政拨款收支比年初预算增长的主要原因是，工资、经费增加、项目增加。</w:t>
      </w:r>
    </w:p>
    <w:p>
      <w:pPr>
        <w:snapToGrid w:val="0"/>
        <w:spacing w:line="520" w:lineRule="exact"/>
        <w:rPr>
          <w:rFonts w:hint="eastAsia"/>
          <w:b/>
          <w:sz w:val="36"/>
          <w:szCs w:val="36"/>
        </w:rPr>
      </w:pPr>
      <w:r>
        <w:rPr>
          <w:rFonts w:hint="eastAsia"/>
          <w:b/>
          <w:sz w:val="36"/>
          <w:szCs w:val="36"/>
        </w:rPr>
        <w:t>五、 “ 三公” 经费支出决算情况说明</w:t>
      </w:r>
    </w:p>
    <w:p>
      <w:pPr>
        <w:autoSpaceDE w:val="0"/>
        <w:autoSpaceDN w:val="0"/>
        <w:adjustRightInd w:val="0"/>
        <w:ind w:firstLine="640" w:firstLineChars="200"/>
        <w:jc w:val="left"/>
        <w:rPr>
          <w:rFonts w:asciiTheme="minorEastAsia" w:hAnsiTheme="minorEastAsia"/>
          <w:sz w:val="32"/>
          <w:szCs w:val="32"/>
        </w:rPr>
      </w:pPr>
      <w:r>
        <w:rPr>
          <w:rFonts w:hint="eastAsia" w:asciiTheme="minorEastAsia" w:hAnsiTheme="minorEastAsia"/>
          <w:sz w:val="32"/>
          <w:szCs w:val="32"/>
        </w:rPr>
        <w:t>2017年本部门无三公经费、会议费、培训费等支出。</w:t>
      </w:r>
    </w:p>
    <w:p>
      <w:pPr>
        <w:rPr>
          <w:b/>
          <w:sz w:val="36"/>
          <w:szCs w:val="36"/>
        </w:rPr>
      </w:pPr>
      <w:r>
        <w:rPr>
          <w:rFonts w:hint="eastAsia"/>
          <w:b/>
          <w:sz w:val="36"/>
          <w:szCs w:val="36"/>
        </w:rPr>
        <w:t>六、 绩效预算管理工作开展情况说明</w:t>
      </w:r>
    </w:p>
    <w:p>
      <w:pPr>
        <w:ind w:firstLine="640" w:firstLineChars="200"/>
        <w:rPr>
          <w:rFonts w:hint="eastAsia" w:asciiTheme="minorEastAsia" w:hAnsiTheme="minorEastAsia" w:eastAsiaTheme="minorEastAsia"/>
          <w:sz w:val="32"/>
          <w:szCs w:val="32"/>
          <w:lang w:val="en-US" w:eastAsia="zh-CN"/>
        </w:rPr>
      </w:pPr>
      <w:r>
        <w:rPr>
          <w:rFonts w:hint="eastAsia" w:asciiTheme="minorEastAsia" w:hAnsiTheme="minor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r>
        <w:rPr>
          <w:rFonts w:hint="eastAsia" w:asciiTheme="minorEastAsia" w:hAnsiTheme="minorEastAsia"/>
          <w:sz w:val="32"/>
          <w:szCs w:val="32"/>
          <w:lang w:eastAsia="zh-CN"/>
        </w:rPr>
        <w:t>。</w:t>
      </w:r>
    </w:p>
    <w:p>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（二）预算项目绩效评价开展情况</w:t>
      </w:r>
      <w:r>
        <w:rPr>
          <w:rFonts w:hint="eastAsia" w:asciiTheme="minorEastAsia" w:hAnsiTheme="minorEastAsia"/>
          <w:sz w:val="32"/>
          <w:szCs w:val="32"/>
          <w:lang w:eastAsia="zh-CN"/>
        </w:rPr>
        <w:t>。</w:t>
      </w:r>
      <w:r>
        <w:rPr>
          <w:rFonts w:hint="eastAsia" w:asciiTheme="minorEastAsia" w:hAnsiTheme="minorEastAsia"/>
          <w:sz w:val="32"/>
          <w:szCs w:val="32"/>
        </w:rPr>
        <w:t>根据预算绩效管理要求，本单位组织对2017年度一般公共预算项目支出全面开展绩效自评，涉及</w:t>
      </w:r>
      <w:r>
        <w:rPr>
          <w:rFonts w:hint="eastAsia" w:asciiTheme="minorEastAsia" w:hAnsiTheme="minorEastAsia"/>
          <w:sz w:val="32"/>
          <w:szCs w:val="32"/>
          <w:lang w:eastAsia="zh-CN"/>
        </w:rPr>
        <w:t>解决供销系统遗留问题经费</w:t>
      </w:r>
      <w:r>
        <w:rPr>
          <w:rFonts w:hint="eastAsia" w:asciiTheme="minorEastAsia" w:hAnsiTheme="minorEastAsia"/>
          <w:sz w:val="32"/>
          <w:szCs w:val="32"/>
        </w:rPr>
        <w:t>等</w:t>
      </w:r>
      <w:r>
        <w:rPr>
          <w:rFonts w:hint="eastAsia" w:asciiTheme="minorEastAsia" w:hAnsiTheme="minorEastAsia"/>
          <w:sz w:val="32"/>
          <w:szCs w:val="32"/>
          <w:lang w:val="en-US" w:eastAsia="zh-CN"/>
        </w:rPr>
        <w:t>1</w:t>
      </w:r>
      <w:r>
        <w:rPr>
          <w:rFonts w:hint="eastAsia" w:asciiTheme="minorEastAsia" w:hAnsiTheme="minorEastAsia"/>
          <w:sz w:val="32"/>
          <w:szCs w:val="32"/>
        </w:rPr>
        <w:t>个项目，涉及资金</w:t>
      </w:r>
      <w:r>
        <w:rPr>
          <w:rFonts w:hint="eastAsia" w:asciiTheme="minorEastAsia" w:hAnsiTheme="minorEastAsia"/>
          <w:sz w:val="32"/>
          <w:szCs w:val="32"/>
          <w:lang w:val="en-US" w:eastAsia="zh-CN"/>
        </w:rPr>
        <w:t>5</w:t>
      </w:r>
      <w:r>
        <w:rPr>
          <w:rFonts w:hint="eastAsia" w:asciiTheme="minorEastAsia" w:hAnsiTheme="minorEastAsia"/>
          <w:sz w:val="32"/>
          <w:szCs w:val="32"/>
        </w:rPr>
        <w:t>万元。从评价情况看，评价结果为良好的项目有</w:t>
      </w:r>
      <w:r>
        <w:rPr>
          <w:rFonts w:hint="eastAsia" w:asciiTheme="minorEastAsia" w:hAnsiTheme="minorEastAsia"/>
          <w:sz w:val="32"/>
          <w:szCs w:val="32"/>
          <w:lang w:val="en-US" w:eastAsia="zh-CN"/>
        </w:rPr>
        <w:t>1</w:t>
      </w:r>
      <w:r>
        <w:rPr>
          <w:rFonts w:hint="eastAsia" w:asciiTheme="minorEastAsia" w:hAnsiTheme="minorEastAsia"/>
          <w:sz w:val="32"/>
          <w:szCs w:val="32"/>
        </w:rPr>
        <w:t>个</w:t>
      </w:r>
      <w:r>
        <w:rPr>
          <w:rFonts w:hint="eastAsia" w:asciiTheme="minorEastAsia" w:hAnsiTheme="minorEastAsia"/>
          <w:sz w:val="32"/>
          <w:szCs w:val="32"/>
          <w:lang w:eastAsia="zh-CN"/>
        </w:rPr>
        <w:t>。</w:t>
      </w:r>
    </w:p>
    <w:p>
      <w:pPr>
        <w:ind w:firstLine="640" w:firstLineChars="200"/>
        <w:rPr>
          <w:rFonts w:hint="eastAsia" w:asciiTheme="minorEastAsia" w:hAnsiTheme="minorEastAsia"/>
          <w:sz w:val="32"/>
          <w:szCs w:val="32"/>
        </w:rPr>
      </w:pPr>
      <w:r>
        <w:rPr>
          <w:rFonts w:hint="eastAsia" w:asciiTheme="minorEastAsia" w:hAnsiTheme="minorEastAsia"/>
          <w:sz w:val="32"/>
          <w:szCs w:val="32"/>
        </w:rPr>
        <w:t>（三）预算项目绩效自评选例</w:t>
      </w:r>
    </w:p>
    <w:p>
      <w:pPr>
        <w:ind w:firstLine="640" w:firstLineChars="200"/>
        <w:rPr>
          <w:rFonts w:hint="eastAsia" w:asciiTheme="minorEastAsia" w:hAnsiTheme="minorEastAsia"/>
          <w:sz w:val="32"/>
          <w:szCs w:val="32"/>
        </w:rPr>
      </w:pPr>
      <w:bookmarkStart w:id="0" w:name="_GoBack"/>
      <w:bookmarkEnd w:id="0"/>
      <w:r>
        <w:rPr>
          <w:rFonts w:hint="eastAsia" w:asciiTheme="minorEastAsia" w:hAnsiTheme="minorEastAsia"/>
          <w:sz w:val="32"/>
          <w:szCs w:val="32"/>
        </w:rPr>
        <w:t>本单位</w:t>
      </w:r>
      <w:r>
        <w:rPr>
          <w:rFonts w:hint="eastAsia" w:asciiTheme="minorEastAsia" w:hAnsiTheme="minorEastAsia"/>
          <w:sz w:val="32"/>
          <w:szCs w:val="32"/>
          <w:lang w:eastAsia="zh-CN"/>
        </w:rPr>
        <w:t>解决供销系统遗留问题经费</w:t>
      </w:r>
      <w:r>
        <w:rPr>
          <w:rFonts w:hint="eastAsia" w:asciiTheme="minorEastAsia" w:hAnsiTheme="minorEastAsia"/>
          <w:sz w:val="32"/>
          <w:szCs w:val="32"/>
        </w:rPr>
        <w:t>项目绩效自评：根据年初设定的绩效目标，</w:t>
      </w:r>
      <w:r>
        <w:rPr>
          <w:rFonts w:hint="eastAsia" w:asciiTheme="minorEastAsia" w:hAnsiTheme="minorEastAsia"/>
          <w:sz w:val="32"/>
          <w:szCs w:val="32"/>
          <w:lang w:eastAsia="zh-CN"/>
        </w:rPr>
        <w:t>解决供销系统遗留问题经费</w:t>
      </w:r>
      <w:r>
        <w:rPr>
          <w:rFonts w:hint="eastAsia" w:asciiTheme="minorEastAsia" w:hAnsiTheme="minorEastAsia"/>
          <w:sz w:val="32"/>
          <w:szCs w:val="32"/>
        </w:rPr>
        <w:t>项目绩效自评结果为良好。项目全年预算数为</w:t>
      </w:r>
      <w:r>
        <w:rPr>
          <w:rFonts w:hint="eastAsia" w:asciiTheme="minorEastAsia" w:hAnsiTheme="minorEastAsia"/>
          <w:sz w:val="32"/>
          <w:szCs w:val="32"/>
          <w:lang w:val="en-US" w:eastAsia="zh-CN"/>
        </w:rPr>
        <w:t>5</w:t>
      </w:r>
      <w:r>
        <w:rPr>
          <w:rFonts w:hint="eastAsia" w:asciiTheme="minorEastAsia" w:hAnsiTheme="minorEastAsia"/>
          <w:sz w:val="32"/>
          <w:szCs w:val="32"/>
        </w:rPr>
        <w:t>万元，执行数为</w:t>
      </w:r>
      <w:r>
        <w:rPr>
          <w:rFonts w:hint="eastAsia" w:asciiTheme="minorEastAsia" w:hAnsiTheme="minorEastAsia"/>
          <w:sz w:val="32"/>
          <w:szCs w:val="32"/>
          <w:lang w:val="en-US" w:eastAsia="zh-CN"/>
        </w:rPr>
        <w:t>5</w:t>
      </w:r>
      <w:r>
        <w:rPr>
          <w:rFonts w:hint="eastAsia" w:asciiTheme="minorEastAsia" w:hAnsiTheme="minorEastAsia"/>
          <w:sz w:val="32"/>
          <w:szCs w:val="32"/>
        </w:rPr>
        <w:t>万元，完成预算的</w:t>
      </w:r>
      <w:r>
        <w:rPr>
          <w:rFonts w:hint="eastAsia" w:asciiTheme="minorEastAsia" w:hAnsiTheme="minorEastAsia"/>
          <w:sz w:val="32"/>
          <w:szCs w:val="32"/>
          <w:lang w:val="en-US" w:eastAsia="zh-CN"/>
        </w:rPr>
        <w:t>100</w:t>
      </w:r>
      <w:r>
        <w:rPr>
          <w:rFonts w:hint="eastAsia" w:asciiTheme="minorEastAsia" w:hAnsiTheme="minorEastAsia"/>
          <w:sz w:val="32"/>
          <w:szCs w:val="32"/>
        </w:rPr>
        <w:t>%。主要产出和效果是</w:t>
      </w:r>
      <w:r>
        <w:rPr>
          <w:rFonts w:hint="eastAsia" w:asciiTheme="minorEastAsia" w:hAnsiTheme="minorEastAsia"/>
          <w:sz w:val="32"/>
          <w:szCs w:val="32"/>
          <w:lang w:eastAsia="zh-CN"/>
        </w:rPr>
        <w:t>解决供销系统遗留问题</w:t>
      </w:r>
      <w:r>
        <w:rPr>
          <w:rFonts w:hint="eastAsia" w:asciiTheme="minorEastAsia" w:hAnsiTheme="minorEastAsia"/>
          <w:sz w:val="32"/>
          <w:szCs w:val="32"/>
        </w:rPr>
        <w:t>。</w:t>
      </w:r>
    </w:p>
    <w:p>
      <w:pPr>
        <w:rPr>
          <w:b/>
          <w:sz w:val="36"/>
          <w:szCs w:val="36"/>
        </w:rPr>
      </w:pPr>
      <w:r>
        <w:rPr>
          <w:rFonts w:hint="eastAsia"/>
          <w:b/>
          <w:sz w:val="36"/>
          <w:szCs w:val="36"/>
        </w:rPr>
        <w:t>七、 其他重要事项的说明</w:t>
      </w:r>
    </w:p>
    <w:p>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年本部门机关运行经费156.87 万元，比2016 年度增加48.65 万元，增加44.95%。主要原因是，工资、经费增加。</w:t>
      </w:r>
    </w:p>
    <w:p>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pPr>
        <w:autoSpaceDE w:val="0"/>
        <w:autoSpaceDN w:val="0"/>
        <w:adjustRightInd w:val="0"/>
        <w:ind w:firstLine="640" w:firstLineChars="200"/>
        <w:jc w:val="left"/>
        <w:rPr>
          <w:rFonts w:hint="eastAsia" w:asciiTheme="minorEastAsia" w:hAnsiTheme="minorEastAsia"/>
          <w:sz w:val="32"/>
          <w:szCs w:val="32"/>
        </w:rPr>
      </w:pPr>
      <w:r>
        <w:rPr>
          <w:rFonts w:hint="eastAsia" w:asciiTheme="minorEastAsia" w:hAnsiTheme="minorEastAsia"/>
          <w:sz w:val="32"/>
          <w:szCs w:val="32"/>
        </w:rPr>
        <w:t>2017 年本部门无政府采购支出。</w:t>
      </w:r>
    </w:p>
    <w:p>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pPr>
        <w:autoSpaceDE w:val="0"/>
        <w:autoSpaceDN w:val="0"/>
        <w:adjustRightInd w:val="0"/>
        <w:ind w:firstLine="640" w:firstLineChars="200"/>
        <w:jc w:val="left"/>
        <w:rPr>
          <w:rFonts w:asciiTheme="minorEastAsia" w:hAnsiTheme="minorEastAsia"/>
          <w:sz w:val="32"/>
          <w:szCs w:val="32"/>
        </w:rPr>
      </w:pPr>
      <w:r>
        <w:rPr>
          <w:rFonts w:hint="eastAsia" w:asciiTheme="minorEastAsia" w:hAnsiTheme="minorEastAsia"/>
          <w:sz w:val="32"/>
          <w:szCs w:val="32"/>
        </w:rPr>
        <w:t>本部门是集体性质，没有国有资产。</w:t>
      </w:r>
    </w:p>
    <w:p>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pPr>
        <w:rPr>
          <w:b/>
          <w:sz w:val="36"/>
          <w:szCs w:val="36"/>
        </w:rPr>
      </w:pPr>
      <w:r>
        <w:rPr>
          <w:rFonts w:hint="eastAsia"/>
          <w:b/>
          <w:sz w:val="36"/>
          <w:szCs w:val="36"/>
        </w:rPr>
        <w:t>一、 财政拨款收入</w:t>
      </w:r>
    </w:p>
    <w:p>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pPr>
        <w:rPr>
          <w:b/>
          <w:sz w:val="36"/>
          <w:szCs w:val="36"/>
        </w:rPr>
      </w:pPr>
      <w:r>
        <w:rPr>
          <w:rFonts w:hint="eastAsia"/>
          <w:b/>
          <w:sz w:val="36"/>
          <w:szCs w:val="36"/>
        </w:rPr>
        <w:t>二、 事业收入</w:t>
      </w:r>
    </w:p>
    <w:p>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pPr>
        <w:rPr>
          <w:b/>
          <w:sz w:val="36"/>
          <w:szCs w:val="36"/>
        </w:rPr>
      </w:pPr>
      <w:r>
        <w:rPr>
          <w:rFonts w:hint="eastAsia"/>
          <w:b/>
          <w:sz w:val="36"/>
          <w:szCs w:val="36"/>
        </w:rPr>
        <w:t>三、 其他收入</w:t>
      </w:r>
    </w:p>
    <w:p>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pPr>
        <w:rPr>
          <w:b/>
          <w:sz w:val="36"/>
          <w:szCs w:val="36"/>
        </w:rPr>
      </w:pPr>
      <w:r>
        <w:rPr>
          <w:rFonts w:hint="eastAsia"/>
          <w:b/>
          <w:sz w:val="36"/>
          <w:szCs w:val="36"/>
        </w:rPr>
        <w:t>四、 用事业基金弥补收支差额</w:t>
      </w:r>
    </w:p>
    <w:p>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pPr>
        <w:rPr>
          <w:b/>
          <w:sz w:val="36"/>
          <w:szCs w:val="36"/>
        </w:rPr>
      </w:pPr>
      <w:r>
        <w:rPr>
          <w:rFonts w:hint="eastAsia"/>
          <w:b/>
          <w:sz w:val="36"/>
          <w:szCs w:val="36"/>
        </w:rPr>
        <w:t>五、 年初结转和结余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pPr>
        <w:rPr>
          <w:b/>
          <w:sz w:val="36"/>
          <w:szCs w:val="36"/>
        </w:rPr>
      </w:pPr>
      <w:r>
        <w:rPr>
          <w:rFonts w:hint="eastAsia"/>
          <w:b/>
          <w:sz w:val="36"/>
          <w:szCs w:val="36"/>
        </w:rPr>
        <w:t>六、 结余分配</w:t>
      </w:r>
    </w:p>
    <w:p>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pPr>
        <w:rPr>
          <w:b/>
          <w:sz w:val="36"/>
          <w:szCs w:val="36"/>
        </w:rPr>
      </w:pPr>
      <w:r>
        <w:rPr>
          <w:rFonts w:hint="eastAsia"/>
          <w:b/>
          <w:sz w:val="36"/>
          <w:szCs w:val="36"/>
        </w:rPr>
        <w:t>七、 年末结转和结余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pPr>
        <w:rPr>
          <w:b/>
          <w:sz w:val="36"/>
          <w:szCs w:val="36"/>
        </w:rPr>
      </w:pPr>
      <w:r>
        <w:rPr>
          <w:rFonts w:hint="eastAsia"/>
          <w:b/>
          <w:sz w:val="36"/>
          <w:szCs w:val="36"/>
        </w:rPr>
        <w:t>八、 基本支出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pPr>
        <w:rPr>
          <w:b/>
          <w:sz w:val="36"/>
          <w:szCs w:val="36"/>
        </w:rPr>
      </w:pPr>
      <w:r>
        <w:rPr>
          <w:rFonts w:hint="eastAsia"/>
          <w:b/>
          <w:sz w:val="36"/>
          <w:szCs w:val="36"/>
        </w:rPr>
        <w:t>九、 项目支出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pPr>
        <w:rPr>
          <w:b/>
          <w:sz w:val="36"/>
          <w:szCs w:val="36"/>
        </w:rPr>
      </w:pPr>
      <w:r>
        <w:rPr>
          <w:rFonts w:hint="eastAsia"/>
          <w:b/>
          <w:sz w:val="36"/>
          <w:szCs w:val="36"/>
        </w:rPr>
        <w:t>十、 基本建设支出</w:t>
      </w:r>
    </w:p>
    <w:p>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b/>
          <w:sz w:val="36"/>
          <w:szCs w:val="36"/>
        </w:rPr>
      </w:pPr>
      <w:r>
        <w:rPr>
          <w:rFonts w:hint="eastAsia"/>
          <w:b/>
          <w:sz w:val="36"/>
          <w:szCs w:val="36"/>
        </w:rPr>
        <w:t>十一、 其他资本性支出</w:t>
      </w:r>
    </w:p>
    <w:p>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pPr>
        <w:rPr>
          <w:b/>
          <w:sz w:val="36"/>
          <w:szCs w:val="36"/>
        </w:rPr>
      </w:pPr>
      <w:r>
        <w:rPr>
          <w:rFonts w:hint="eastAsia"/>
          <w:b/>
          <w:sz w:val="36"/>
          <w:szCs w:val="36"/>
        </w:rPr>
        <w:t>十二、 “ 三公” 经费</w:t>
      </w:r>
    </w:p>
    <w:p>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b/>
          <w:sz w:val="36"/>
          <w:szCs w:val="36"/>
        </w:rPr>
      </w:pPr>
      <w:r>
        <w:rPr>
          <w:rFonts w:hint="eastAsia"/>
          <w:b/>
          <w:sz w:val="36"/>
          <w:szCs w:val="36"/>
        </w:rPr>
        <w:t>十三、 其他交通费用</w:t>
      </w:r>
    </w:p>
    <w:p>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pPr>
        <w:rPr>
          <w:b/>
          <w:sz w:val="36"/>
          <w:szCs w:val="36"/>
        </w:rPr>
      </w:pPr>
      <w:r>
        <w:rPr>
          <w:rFonts w:hint="eastAsia"/>
          <w:b/>
          <w:sz w:val="36"/>
          <w:szCs w:val="36"/>
        </w:rPr>
        <w:t>十四、 公务用车购置</w:t>
      </w:r>
    </w:p>
    <w:p>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pPr>
        <w:rPr>
          <w:b/>
          <w:sz w:val="36"/>
          <w:szCs w:val="36"/>
        </w:rPr>
      </w:pPr>
      <w:r>
        <w:rPr>
          <w:rFonts w:hint="eastAsia"/>
          <w:b/>
          <w:sz w:val="36"/>
          <w:szCs w:val="36"/>
        </w:rPr>
        <w:t>十五、 其他交通工具购置</w:t>
      </w:r>
    </w:p>
    <w:p>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pPr>
        <w:rPr>
          <w:b/>
          <w:sz w:val="36"/>
          <w:szCs w:val="36"/>
        </w:rPr>
      </w:pPr>
      <w:r>
        <w:rPr>
          <w:rFonts w:hint="eastAsia"/>
          <w:b/>
          <w:sz w:val="36"/>
          <w:szCs w:val="36"/>
        </w:rPr>
        <w:t>十六、 机关运行经费</w:t>
      </w:r>
    </w:p>
    <w:p>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43F0B"/>
    <w:multiLevelType w:val="multilevel"/>
    <w:tmpl w:val="18843F0B"/>
    <w:lvl w:ilvl="0" w:tentative="0">
      <w:start w:val="1"/>
      <w:numFmt w:val="japaneseCounting"/>
      <w:lvlText w:val="%1、"/>
      <w:lvlJc w:val="left"/>
      <w:pPr>
        <w:ind w:left="750" w:hanging="7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F6B63"/>
    <w:rsid w:val="00005D8D"/>
    <w:rsid w:val="000C1629"/>
    <w:rsid w:val="000F2951"/>
    <w:rsid w:val="000F6B63"/>
    <w:rsid w:val="00172F4B"/>
    <w:rsid w:val="001C2AA1"/>
    <w:rsid w:val="001C61C0"/>
    <w:rsid w:val="002154B6"/>
    <w:rsid w:val="00225112"/>
    <w:rsid w:val="0029221F"/>
    <w:rsid w:val="003015AB"/>
    <w:rsid w:val="00396F4E"/>
    <w:rsid w:val="0045004F"/>
    <w:rsid w:val="0052674F"/>
    <w:rsid w:val="005651CC"/>
    <w:rsid w:val="005B640A"/>
    <w:rsid w:val="0073228C"/>
    <w:rsid w:val="007366E2"/>
    <w:rsid w:val="00740959"/>
    <w:rsid w:val="007D25CA"/>
    <w:rsid w:val="007F4EC5"/>
    <w:rsid w:val="00966E2C"/>
    <w:rsid w:val="009949D9"/>
    <w:rsid w:val="00A711B9"/>
    <w:rsid w:val="00A72965"/>
    <w:rsid w:val="00A81A68"/>
    <w:rsid w:val="00AA30B9"/>
    <w:rsid w:val="00B652F9"/>
    <w:rsid w:val="00B75291"/>
    <w:rsid w:val="00C15A1F"/>
    <w:rsid w:val="00C64274"/>
    <w:rsid w:val="00CF7516"/>
    <w:rsid w:val="00DF4C03"/>
    <w:rsid w:val="00EA73A9"/>
    <w:rsid w:val="00F077D4"/>
    <w:rsid w:val="00F435DB"/>
    <w:rsid w:val="00FD214C"/>
    <w:rsid w:val="00FE5519"/>
    <w:rsid w:val="0BA21C0E"/>
    <w:rsid w:val="12BA6DD1"/>
    <w:rsid w:val="140E29B8"/>
    <w:rsid w:val="20835C96"/>
    <w:rsid w:val="21134012"/>
    <w:rsid w:val="22001072"/>
    <w:rsid w:val="26FF03BC"/>
    <w:rsid w:val="28BE34A0"/>
    <w:rsid w:val="2E504E7D"/>
    <w:rsid w:val="409D2B3D"/>
    <w:rsid w:val="4AEA1E45"/>
    <w:rsid w:val="55180074"/>
    <w:rsid w:val="5A1841A6"/>
    <w:rsid w:val="5EB607EB"/>
    <w:rsid w:val="664A4942"/>
    <w:rsid w:val="66B92307"/>
    <w:rsid w:val="67440D9F"/>
    <w:rsid w:val="6DF9582D"/>
    <w:rsid w:val="711744B5"/>
    <w:rsid w:val="719D194B"/>
    <w:rsid w:val="74892D96"/>
    <w:rsid w:val="7FB01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3">
    <w:name w:val="页眉 Char"/>
    <w:basedOn w:val="10"/>
    <w:link w:val="7"/>
    <w:semiHidden/>
    <w:qFormat/>
    <w:uiPriority w:val="99"/>
    <w:rPr>
      <w:sz w:val="18"/>
      <w:szCs w:val="18"/>
    </w:rPr>
  </w:style>
  <w:style w:type="character" w:customStyle="1" w:styleId="14">
    <w:name w:val="页脚 Char"/>
    <w:basedOn w:val="10"/>
    <w:link w:val="6"/>
    <w:semiHidden/>
    <w:qFormat/>
    <w:uiPriority w:val="99"/>
    <w:rPr>
      <w:sz w:val="18"/>
      <w:szCs w:val="18"/>
    </w:rPr>
  </w:style>
  <w:style w:type="character" w:customStyle="1" w:styleId="15">
    <w:name w:val="标题 1 Char"/>
    <w:basedOn w:val="10"/>
    <w:link w:val="2"/>
    <w:qFormat/>
    <w:uiPriority w:val="9"/>
    <w:rPr>
      <w:b/>
      <w:bCs/>
      <w:kern w:val="44"/>
      <w:sz w:val="44"/>
      <w:szCs w:val="44"/>
    </w:rPr>
  </w:style>
  <w:style w:type="character" w:customStyle="1" w:styleId="16">
    <w:name w:val="标题 2 Char"/>
    <w:basedOn w:val="10"/>
    <w:link w:val="3"/>
    <w:qFormat/>
    <w:uiPriority w:val="9"/>
    <w:rPr>
      <w:rFonts w:asciiTheme="majorHAnsi" w:hAnsiTheme="majorHAnsi" w:eastAsiaTheme="majorEastAsia" w:cstheme="majorBidi"/>
      <w:b/>
      <w:bCs/>
      <w:sz w:val="32"/>
      <w:szCs w:val="32"/>
    </w:rPr>
  </w:style>
  <w:style w:type="character" w:customStyle="1" w:styleId="17">
    <w:name w:val="标题 Char"/>
    <w:basedOn w:val="10"/>
    <w:link w:val="9"/>
    <w:qFormat/>
    <w:uiPriority w:val="10"/>
    <w:rPr>
      <w:rFonts w:eastAsia="宋体" w:asciiTheme="majorHAnsi" w:hAnsiTheme="majorHAnsi" w:cstheme="majorBidi"/>
      <w:b/>
      <w:bCs/>
      <w:sz w:val="32"/>
      <w:szCs w:val="32"/>
    </w:rPr>
  </w:style>
  <w:style w:type="character" w:customStyle="1" w:styleId="18">
    <w:name w:val="标题 3 Char"/>
    <w:basedOn w:val="10"/>
    <w:link w:val="4"/>
    <w:qFormat/>
    <w:uiPriority w:val="9"/>
    <w:rPr>
      <w:b/>
      <w:bCs/>
      <w:sz w:val="32"/>
      <w:szCs w:val="32"/>
    </w:rPr>
  </w:style>
  <w:style w:type="character" w:customStyle="1" w:styleId="19">
    <w:name w:val="副标题 Char"/>
    <w:basedOn w:val="10"/>
    <w:link w:val="8"/>
    <w:qFormat/>
    <w:uiPriority w:val="11"/>
    <w:rPr>
      <w:rFonts w:eastAsia="宋体" w:asciiTheme="majorHAnsi" w:hAnsiTheme="majorHAnsi" w:cstheme="majorBidi"/>
      <w:b/>
      <w:bCs/>
      <w:kern w:val="28"/>
      <w:sz w:val="32"/>
      <w:szCs w:val="32"/>
    </w:rPr>
  </w:style>
  <w:style w:type="character" w:customStyle="1" w:styleId="20">
    <w:name w:val="标题 4 Char"/>
    <w:basedOn w:val="10"/>
    <w:link w:val="5"/>
    <w:qFormat/>
    <w:uiPriority w:val="9"/>
    <w:rPr>
      <w:rFonts w:asciiTheme="majorHAnsi" w:hAnsiTheme="majorHAnsi" w:eastAsiaTheme="majorEastAsia" w:cstheme="majorBidi"/>
      <w:b/>
      <w:bCs/>
      <w:sz w:val="28"/>
      <w:szCs w:val="28"/>
    </w:rPr>
  </w:style>
  <w:style w:type="paragraph"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baseline="0">
                <a:solidFill>
                  <a:schemeClr val="tx1">
                    <a:lumMod val="65000"/>
                    <a:lumOff val="35000"/>
                  </a:schemeClr>
                </a:solidFill>
                <a:latin typeface="+mn-lt"/>
                <a:ea typeface="+mn-ea"/>
                <a:cs typeface="+mn-cs"/>
              </a:defRPr>
            </a:pPr>
            <a:r>
              <a:rPr sz="1200"/>
              <a:t>决算</a:t>
            </a:r>
            <a:r>
              <a:rPr sz="1200">
                <a:solidFill>
                  <a:schemeClr val="tx1">
                    <a:lumMod val="65000"/>
                    <a:lumOff val="35000"/>
                  </a:schemeClr>
                </a:solidFill>
                <a:uFillTx/>
              </a:rPr>
              <a:t>支出</a:t>
            </a:r>
            <a:endParaRPr sz="1200">
              <a:solidFill>
                <a:schemeClr val="tx1">
                  <a:lumMod val="65000"/>
                  <a:lumOff val="35000"/>
                </a:schemeClr>
              </a:solidFill>
              <a:uFillTx/>
            </a:endParaRPr>
          </a:p>
        </c:rich>
      </c:tx>
      <c:layout/>
      <c:overlay val="0"/>
      <c:spPr>
        <a:noFill/>
        <a:ln>
          <a:noFill/>
        </a:ln>
        <a:effectLst/>
      </c:spPr>
    </c:title>
    <c:autoTitleDeleted val="0"/>
    <c:plotArea>
      <c:layout/>
      <c:pieChart>
        <c:varyColors val="1"/>
        <c:ser>
          <c:idx val="0"/>
          <c:order val="0"/>
          <c:spPr/>
          <c:explosion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c:formatCode>
                <c:ptCount val="2"/>
                <c:pt idx="0">
                  <c:v>0.968</c:v>
                </c:pt>
                <c:pt idx="1">
                  <c:v>0.032</c:v>
                </c:pt>
              </c:numCache>
            </c:numRef>
          </c:val>
          <c:extLst>
            <c:ext xmlns:c15="http://schemas.microsoft.com/office/drawing/2012/chart" uri="{02D57815-91ED-43cb-92C2-25804820EDAC}">
              <c15:filteredSeriesTitle>
                <c15:tx>
                  <c:strRef>
                    <c:extLst>
                      <c:ext uri="{02D57815-91ED-43cb-92C2-25804820EDAC}">
                        <c15:formulaRef>
                          <c15:sqref>Sheet1!$B$1</c15:sqref>
                        </c15:formulaRef>
                      </c:ext>
                    </c:extLst>
                    <c:strCache>
                      <c:ptCount val="1"/>
                      <c:pt idx="0">
                        <c:v>列1</c:v>
                      </c:pt>
                    </c:strCache>
                  </c:strRef>
                </c15:tx>
              </c15:filteredSeriesTitle>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DDE748-75D4-49FA-A22D-CAC652D06BA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557</Words>
  <Characters>3178</Characters>
  <Lines>26</Lines>
  <Paragraphs>7</Paragraphs>
  <TotalTime>4</TotalTime>
  <ScaleCrop>false</ScaleCrop>
  <LinksUpToDate>false</LinksUpToDate>
  <CharactersWithSpaces>3728</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2018-10-09T07:03:00Z</dcterms:created>
  <dc:creator>办公室</dc:creator>
  <cp:lastModifiedBy>Administrator</cp:lastModifiedBy>
  <cp:lastPrinted>2018-10-09T07:46:00Z</cp:lastPrinted>
  <dcterms:modified xsi:type="dcterms:W3CDTF">2019-01-23T08:13:25Z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