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一、石家庄市藁城区南董镇人民政府本级收支预算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一、石家庄市藁城区南董镇人民政府本级收支预算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1617.67</w:t>
            </w:r>
          </w:p>
        </w:tc>
        <w:tc>
          <w:tcPr>
            <w:tcW w:w="4535" w:type="dxa"/>
            <w:vAlign w:val="center"/>
          </w:tcPr>
          <w:p>
            <w:pPr>
              <w:pStyle w:val="12"/>
            </w:pPr>
            <w:r>
              <w:t>一、一般公共服务支出</w:t>
            </w:r>
          </w:p>
        </w:tc>
        <w:tc>
          <w:tcPr>
            <w:tcW w:w="2126" w:type="dxa"/>
            <w:vAlign w:val="center"/>
          </w:tcPr>
          <w:p>
            <w:pPr>
              <w:pStyle w:val="11"/>
            </w:pPr>
            <w:r>
              <w:t>1574.05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1617.67</w:t>
            </w:r>
          </w:p>
        </w:tc>
        <w:tc>
          <w:tcPr>
            <w:tcW w:w="4535" w:type="dxa"/>
            <w:vAlign w:val="center"/>
          </w:tcPr>
          <w:p>
            <w:pPr>
              <w:pStyle w:val="14"/>
            </w:pPr>
            <w:r>
              <w:t>本年支出合计</w:t>
            </w:r>
          </w:p>
        </w:tc>
        <w:tc>
          <w:tcPr>
            <w:tcW w:w="2126" w:type="dxa"/>
            <w:vAlign w:val="center"/>
          </w:tcPr>
          <w:p>
            <w:pPr>
              <w:pStyle w:val="15"/>
            </w:pPr>
            <w:r>
              <w:t>1617.67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1617.67</w:t>
            </w:r>
          </w:p>
        </w:tc>
        <w:tc>
          <w:tcPr>
            <w:tcW w:w="4535" w:type="dxa"/>
            <w:vAlign w:val="center"/>
          </w:tcPr>
          <w:p>
            <w:pPr>
              <w:pStyle w:val="14"/>
            </w:pPr>
            <w:r>
              <w:t>支出总计</w:t>
            </w:r>
          </w:p>
        </w:tc>
        <w:tc>
          <w:tcPr>
            <w:tcW w:w="2126" w:type="dxa"/>
            <w:vAlign w:val="center"/>
          </w:tcPr>
          <w:p>
            <w:pPr>
              <w:pStyle w:val="15"/>
            </w:pPr>
            <w:r>
              <w:t>1617.67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1617.67</w:t>
            </w:r>
          </w:p>
        </w:tc>
        <w:tc>
          <w:tcPr>
            <w:tcW w:w="1134" w:type="dxa"/>
            <w:vAlign w:val="center"/>
          </w:tcPr>
          <w:p>
            <w:pPr>
              <w:pStyle w:val="15"/>
            </w:pPr>
            <w:r>
              <w:t>1617.67</w:t>
            </w:r>
          </w:p>
        </w:tc>
        <w:tc>
          <w:tcPr>
            <w:tcW w:w="1134" w:type="dxa"/>
            <w:vAlign w:val="center"/>
          </w:tcPr>
          <w:p>
            <w:pPr>
              <w:pStyle w:val="15"/>
            </w:pPr>
            <w:r>
              <w:t>1617.67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1574.05</w:t>
            </w:r>
          </w:p>
        </w:tc>
        <w:tc>
          <w:tcPr>
            <w:tcW w:w="1134" w:type="dxa"/>
            <w:vAlign w:val="center"/>
          </w:tcPr>
          <w:p>
            <w:pPr>
              <w:pStyle w:val="11"/>
            </w:pPr>
            <w:r>
              <w:t>1574.05</w:t>
            </w:r>
          </w:p>
        </w:tc>
        <w:tc>
          <w:tcPr>
            <w:tcW w:w="1134" w:type="dxa"/>
            <w:vAlign w:val="center"/>
          </w:tcPr>
          <w:p>
            <w:pPr>
              <w:pStyle w:val="11"/>
            </w:pPr>
            <w:r>
              <w:t>1574.05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1574.05</w:t>
            </w:r>
          </w:p>
        </w:tc>
        <w:tc>
          <w:tcPr>
            <w:tcW w:w="1134" w:type="dxa"/>
            <w:vAlign w:val="center"/>
          </w:tcPr>
          <w:p>
            <w:pPr>
              <w:pStyle w:val="11"/>
            </w:pPr>
            <w:r>
              <w:t>1574.05</w:t>
            </w:r>
          </w:p>
        </w:tc>
        <w:tc>
          <w:tcPr>
            <w:tcW w:w="1134" w:type="dxa"/>
            <w:vAlign w:val="center"/>
          </w:tcPr>
          <w:p>
            <w:pPr>
              <w:pStyle w:val="11"/>
            </w:pPr>
            <w:r>
              <w:t>1574.05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1265.84</w:t>
            </w:r>
          </w:p>
        </w:tc>
        <w:tc>
          <w:tcPr>
            <w:tcW w:w="1134" w:type="dxa"/>
            <w:vAlign w:val="center"/>
          </w:tcPr>
          <w:p>
            <w:pPr>
              <w:pStyle w:val="11"/>
            </w:pPr>
            <w:r>
              <w:t>1265.84</w:t>
            </w:r>
          </w:p>
        </w:tc>
        <w:tc>
          <w:tcPr>
            <w:tcW w:w="1134" w:type="dxa"/>
            <w:vAlign w:val="center"/>
          </w:tcPr>
          <w:p>
            <w:pPr>
              <w:pStyle w:val="11"/>
            </w:pPr>
            <w:r>
              <w:t>1265.84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308.21</w:t>
            </w:r>
          </w:p>
        </w:tc>
        <w:tc>
          <w:tcPr>
            <w:tcW w:w="1134" w:type="dxa"/>
            <w:vAlign w:val="center"/>
          </w:tcPr>
          <w:p>
            <w:pPr>
              <w:pStyle w:val="11"/>
            </w:pPr>
            <w:r>
              <w:t>308.21</w:t>
            </w:r>
          </w:p>
        </w:tc>
        <w:tc>
          <w:tcPr>
            <w:tcW w:w="1134" w:type="dxa"/>
            <w:vAlign w:val="center"/>
          </w:tcPr>
          <w:p>
            <w:pPr>
              <w:pStyle w:val="11"/>
            </w:pPr>
            <w:r>
              <w:t>308.21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r>
              <w:t>22.90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r>
              <w:t>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1617.67</w:t>
            </w:r>
          </w:p>
        </w:tc>
        <w:tc>
          <w:tcPr>
            <w:tcW w:w="1361" w:type="dxa"/>
            <w:vAlign w:val="center"/>
          </w:tcPr>
          <w:p>
            <w:pPr>
              <w:pStyle w:val="15"/>
            </w:pPr>
            <w:r>
              <w:t>1265.84</w:t>
            </w:r>
          </w:p>
        </w:tc>
        <w:tc>
          <w:tcPr>
            <w:tcW w:w="1361" w:type="dxa"/>
            <w:vAlign w:val="center"/>
          </w:tcPr>
          <w:p>
            <w:pPr>
              <w:pStyle w:val="15"/>
            </w:pPr>
            <w:r>
              <w:t>351.82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1574.05</w:t>
            </w:r>
          </w:p>
        </w:tc>
        <w:tc>
          <w:tcPr>
            <w:tcW w:w="1361" w:type="dxa"/>
            <w:vAlign w:val="center"/>
          </w:tcPr>
          <w:p>
            <w:pPr>
              <w:pStyle w:val="11"/>
            </w:pPr>
            <w:r>
              <w:t>1265.84</w:t>
            </w:r>
          </w:p>
        </w:tc>
        <w:tc>
          <w:tcPr>
            <w:tcW w:w="1361" w:type="dxa"/>
            <w:vAlign w:val="center"/>
          </w:tcPr>
          <w:p>
            <w:pPr>
              <w:pStyle w:val="11"/>
            </w:pPr>
            <w:r>
              <w:t>308.21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1574.05</w:t>
            </w:r>
          </w:p>
        </w:tc>
        <w:tc>
          <w:tcPr>
            <w:tcW w:w="1361" w:type="dxa"/>
            <w:vAlign w:val="center"/>
          </w:tcPr>
          <w:p>
            <w:pPr>
              <w:pStyle w:val="11"/>
            </w:pPr>
            <w:r>
              <w:t>1265.84</w:t>
            </w:r>
          </w:p>
        </w:tc>
        <w:tc>
          <w:tcPr>
            <w:tcW w:w="1361" w:type="dxa"/>
            <w:vAlign w:val="center"/>
          </w:tcPr>
          <w:p>
            <w:pPr>
              <w:pStyle w:val="11"/>
            </w:pPr>
            <w:r>
              <w:t>308.21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1265.84</w:t>
            </w:r>
          </w:p>
        </w:tc>
        <w:tc>
          <w:tcPr>
            <w:tcW w:w="1361" w:type="dxa"/>
            <w:vAlign w:val="center"/>
          </w:tcPr>
          <w:p>
            <w:pPr>
              <w:pStyle w:val="11"/>
            </w:pPr>
            <w:r>
              <w:t>1265.84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308.21</w:t>
            </w:r>
          </w:p>
        </w:tc>
        <w:tc>
          <w:tcPr>
            <w:tcW w:w="1361" w:type="dxa"/>
            <w:vAlign w:val="center"/>
          </w:tcPr>
          <w:p>
            <w:pPr>
              <w:pStyle w:val="11"/>
            </w:pPr>
          </w:p>
        </w:tc>
        <w:tc>
          <w:tcPr>
            <w:tcW w:w="1361" w:type="dxa"/>
            <w:vAlign w:val="center"/>
          </w:tcPr>
          <w:p>
            <w:pPr>
              <w:pStyle w:val="11"/>
            </w:pPr>
            <w:r>
              <w:t>308.21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r>
              <w:t>22.90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r>
              <w:t>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1617.67</w:t>
            </w:r>
          </w:p>
        </w:tc>
        <w:tc>
          <w:tcPr>
            <w:tcW w:w="3402" w:type="dxa"/>
            <w:vAlign w:val="center"/>
          </w:tcPr>
          <w:p>
            <w:pPr>
              <w:pStyle w:val="12"/>
            </w:pPr>
            <w:r>
              <w:t>一、一般公共服务支出</w:t>
            </w:r>
          </w:p>
        </w:tc>
        <w:tc>
          <w:tcPr>
            <w:tcW w:w="1474" w:type="dxa"/>
            <w:vAlign w:val="center"/>
          </w:tcPr>
          <w:p>
            <w:pPr>
              <w:pStyle w:val="11"/>
            </w:pPr>
            <w:r>
              <w:t>1574.05</w:t>
            </w:r>
          </w:p>
        </w:tc>
        <w:tc>
          <w:tcPr>
            <w:tcW w:w="1474" w:type="dxa"/>
            <w:vAlign w:val="center"/>
          </w:tcPr>
          <w:p>
            <w:pPr>
              <w:pStyle w:val="11"/>
            </w:pPr>
            <w:r>
              <w:t>1574.05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22.90</w:t>
            </w:r>
          </w:p>
        </w:tc>
        <w:tc>
          <w:tcPr>
            <w:tcW w:w="1474" w:type="dxa"/>
            <w:vAlign w:val="center"/>
          </w:tcPr>
          <w:p>
            <w:pPr>
              <w:pStyle w:val="11"/>
            </w:pPr>
            <w:r>
              <w:t>22.90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2.90</w:t>
            </w:r>
          </w:p>
        </w:tc>
        <w:tc>
          <w:tcPr>
            <w:tcW w:w="1474" w:type="dxa"/>
            <w:vAlign w:val="center"/>
          </w:tcPr>
          <w:p>
            <w:pPr>
              <w:pStyle w:val="11"/>
            </w:pPr>
            <w:r>
              <w:t>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5.50</w:t>
            </w:r>
          </w:p>
        </w:tc>
        <w:tc>
          <w:tcPr>
            <w:tcW w:w="1474" w:type="dxa"/>
            <w:vAlign w:val="center"/>
          </w:tcPr>
          <w:p>
            <w:pPr>
              <w:pStyle w:val="11"/>
            </w:pPr>
            <w:r>
              <w:t>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12.31</w:t>
            </w:r>
          </w:p>
        </w:tc>
        <w:tc>
          <w:tcPr>
            <w:tcW w:w="1474" w:type="dxa"/>
            <w:vAlign w:val="center"/>
          </w:tcPr>
          <w:p>
            <w:pPr>
              <w:pStyle w:val="11"/>
            </w:pPr>
            <w:r>
              <w:t>12.31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1617.67</w:t>
            </w:r>
          </w:p>
        </w:tc>
        <w:tc>
          <w:tcPr>
            <w:tcW w:w="3402" w:type="dxa"/>
            <w:vAlign w:val="center"/>
          </w:tcPr>
          <w:p>
            <w:pPr>
              <w:pStyle w:val="14"/>
            </w:pPr>
            <w:r>
              <w:t>本年支出合计</w:t>
            </w:r>
          </w:p>
        </w:tc>
        <w:tc>
          <w:tcPr>
            <w:tcW w:w="1474" w:type="dxa"/>
            <w:vAlign w:val="center"/>
          </w:tcPr>
          <w:p>
            <w:pPr>
              <w:pStyle w:val="15"/>
            </w:pPr>
            <w:r>
              <w:t>1617.67</w:t>
            </w:r>
          </w:p>
        </w:tc>
        <w:tc>
          <w:tcPr>
            <w:tcW w:w="1474" w:type="dxa"/>
            <w:vAlign w:val="center"/>
          </w:tcPr>
          <w:p>
            <w:pPr>
              <w:pStyle w:val="15"/>
            </w:pPr>
            <w:r>
              <w:t>1617.67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1617.67</w:t>
            </w:r>
          </w:p>
        </w:tc>
        <w:tc>
          <w:tcPr>
            <w:tcW w:w="3402" w:type="dxa"/>
            <w:vAlign w:val="center"/>
          </w:tcPr>
          <w:p>
            <w:pPr>
              <w:pStyle w:val="14"/>
            </w:pPr>
            <w:r>
              <w:t>支出总计</w:t>
            </w:r>
          </w:p>
        </w:tc>
        <w:tc>
          <w:tcPr>
            <w:tcW w:w="1474" w:type="dxa"/>
            <w:vAlign w:val="center"/>
          </w:tcPr>
          <w:p>
            <w:pPr>
              <w:pStyle w:val="15"/>
            </w:pPr>
            <w:r>
              <w:t>1617.67</w:t>
            </w:r>
          </w:p>
        </w:tc>
        <w:tc>
          <w:tcPr>
            <w:tcW w:w="1474" w:type="dxa"/>
            <w:vAlign w:val="center"/>
          </w:tcPr>
          <w:p>
            <w:pPr>
              <w:pStyle w:val="15"/>
            </w:pPr>
            <w:r>
              <w:t>1617.67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1617.67</w:t>
            </w:r>
          </w:p>
        </w:tc>
        <w:tc>
          <w:tcPr>
            <w:tcW w:w="2551" w:type="dxa"/>
            <w:vAlign w:val="center"/>
          </w:tcPr>
          <w:p>
            <w:pPr>
              <w:pStyle w:val="15"/>
            </w:pPr>
            <w:r>
              <w:t>1265.84</w:t>
            </w:r>
          </w:p>
        </w:tc>
        <w:tc>
          <w:tcPr>
            <w:tcW w:w="2551" w:type="dxa"/>
            <w:vAlign w:val="center"/>
          </w:tcPr>
          <w:p>
            <w:pPr>
              <w:pStyle w:val="15"/>
            </w:pPr>
            <w:r>
              <w:t>351.82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1574.05</w:t>
            </w:r>
          </w:p>
        </w:tc>
        <w:tc>
          <w:tcPr>
            <w:tcW w:w="2551" w:type="dxa"/>
            <w:vAlign w:val="center"/>
          </w:tcPr>
          <w:p>
            <w:pPr>
              <w:pStyle w:val="11"/>
            </w:pPr>
            <w:r>
              <w:t>1265.84</w:t>
            </w:r>
          </w:p>
        </w:tc>
        <w:tc>
          <w:tcPr>
            <w:tcW w:w="2551" w:type="dxa"/>
            <w:vAlign w:val="center"/>
          </w:tcPr>
          <w:p>
            <w:pPr>
              <w:pStyle w:val="11"/>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1574.05</w:t>
            </w:r>
          </w:p>
        </w:tc>
        <w:tc>
          <w:tcPr>
            <w:tcW w:w="2551" w:type="dxa"/>
            <w:vAlign w:val="center"/>
          </w:tcPr>
          <w:p>
            <w:pPr>
              <w:pStyle w:val="11"/>
            </w:pPr>
            <w:r>
              <w:t>1265.84</w:t>
            </w:r>
          </w:p>
        </w:tc>
        <w:tc>
          <w:tcPr>
            <w:tcW w:w="2551" w:type="dxa"/>
            <w:vAlign w:val="center"/>
          </w:tcPr>
          <w:p>
            <w:pPr>
              <w:pStyle w:val="11"/>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1265.84</w:t>
            </w:r>
          </w:p>
        </w:tc>
        <w:tc>
          <w:tcPr>
            <w:tcW w:w="2551" w:type="dxa"/>
            <w:vAlign w:val="center"/>
          </w:tcPr>
          <w:p>
            <w:pPr>
              <w:pStyle w:val="11"/>
            </w:pPr>
            <w:r>
              <w:t>1265.84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308.21</w:t>
            </w:r>
          </w:p>
        </w:tc>
        <w:tc>
          <w:tcPr>
            <w:tcW w:w="2551" w:type="dxa"/>
            <w:vAlign w:val="center"/>
          </w:tcPr>
          <w:p>
            <w:pPr>
              <w:pStyle w:val="11"/>
            </w:pPr>
          </w:p>
        </w:tc>
        <w:tc>
          <w:tcPr>
            <w:tcW w:w="2551" w:type="dxa"/>
            <w:vAlign w:val="center"/>
          </w:tcPr>
          <w:p>
            <w:pPr>
              <w:pStyle w:val="11"/>
            </w:pPr>
            <w:r>
              <w:t>308.21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22.90</w:t>
            </w:r>
          </w:p>
        </w:tc>
        <w:tc>
          <w:tcPr>
            <w:tcW w:w="2551" w:type="dxa"/>
            <w:vAlign w:val="center"/>
          </w:tcPr>
          <w:p>
            <w:pPr>
              <w:pStyle w:val="11"/>
            </w:pPr>
          </w:p>
        </w:tc>
        <w:tc>
          <w:tcPr>
            <w:tcW w:w="2551" w:type="dxa"/>
            <w:vAlign w:val="center"/>
          </w:tcPr>
          <w:p>
            <w:pPr>
              <w:pStyle w:val="11"/>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22.90</w:t>
            </w:r>
          </w:p>
        </w:tc>
        <w:tc>
          <w:tcPr>
            <w:tcW w:w="2551" w:type="dxa"/>
            <w:vAlign w:val="center"/>
          </w:tcPr>
          <w:p>
            <w:pPr>
              <w:pStyle w:val="11"/>
            </w:pPr>
          </w:p>
        </w:tc>
        <w:tc>
          <w:tcPr>
            <w:tcW w:w="2551" w:type="dxa"/>
            <w:vAlign w:val="center"/>
          </w:tcPr>
          <w:p>
            <w:pPr>
              <w:pStyle w:val="11"/>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22.90</w:t>
            </w:r>
          </w:p>
        </w:tc>
        <w:tc>
          <w:tcPr>
            <w:tcW w:w="2551" w:type="dxa"/>
            <w:vAlign w:val="center"/>
          </w:tcPr>
          <w:p>
            <w:pPr>
              <w:pStyle w:val="11"/>
            </w:pPr>
          </w:p>
        </w:tc>
        <w:tc>
          <w:tcPr>
            <w:tcW w:w="2551" w:type="dxa"/>
            <w:vAlign w:val="center"/>
          </w:tcPr>
          <w:p>
            <w:pPr>
              <w:pStyle w:val="11"/>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12.31</w:t>
            </w:r>
          </w:p>
        </w:tc>
        <w:tc>
          <w:tcPr>
            <w:tcW w:w="2551" w:type="dxa"/>
            <w:vAlign w:val="center"/>
          </w:tcPr>
          <w:p>
            <w:pPr>
              <w:pStyle w:val="11"/>
            </w:pPr>
          </w:p>
        </w:tc>
        <w:tc>
          <w:tcPr>
            <w:tcW w:w="2551" w:type="dxa"/>
            <w:vAlign w:val="center"/>
          </w:tcPr>
          <w:p>
            <w:pPr>
              <w:pStyle w:val="11"/>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12.31</w:t>
            </w:r>
          </w:p>
        </w:tc>
        <w:tc>
          <w:tcPr>
            <w:tcW w:w="2551" w:type="dxa"/>
            <w:vAlign w:val="center"/>
          </w:tcPr>
          <w:p>
            <w:pPr>
              <w:pStyle w:val="11"/>
            </w:pPr>
          </w:p>
        </w:tc>
        <w:tc>
          <w:tcPr>
            <w:tcW w:w="2551" w:type="dxa"/>
            <w:vAlign w:val="center"/>
          </w:tcPr>
          <w:p>
            <w:pPr>
              <w:pStyle w:val="11"/>
            </w:pP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12.31</w:t>
            </w:r>
          </w:p>
        </w:tc>
        <w:tc>
          <w:tcPr>
            <w:tcW w:w="2551" w:type="dxa"/>
            <w:vAlign w:val="center"/>
          </w:tcPr>
          <w:p>
            <w:pPr>
              <w:pStyle w:val="11"/>
            </w:pPr>
          </w:p>
        </w:tc>
        <w:tc>
          <w:tcPr>
            <w:tcW w:w="2551" w:type="dxa"/>
            <w:vAlign w:val="center"/>
          </w:tcPr>
          <w:p>
            <w:pPr>
              <w:pStyle w:val="11"/>
            </w:pPr>
            <w:r>
              <w:t>12.31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1265.84</w:t>
            </w:r>
          </w:p>
        </w:tc>
        <w:tc>
          <w:tcPr>
            <w:tcW w:w="2551" w:type="dxa"/>
            <w:vAlign w:val="center"/>
          </w:tcPr>
          <w:p>
            <w:pPr>
              <w:pStyle w:val="15"/>
            </w:pPr>
            <w:r>
              <w:t>1089.20</w:t>
            </w:r>
          </w:p>
        </w:tc>
        <w:tc>
          <w:tcPr>
            <w:tcW w:w="2551" w:type="dxa"/>
            <w:vAlign w:val="center"/>
          </w:tcPr>
          <w:p>
            <w:pPr>
              <w:pStyle w:val="15"/>
            </w:pPr>
            <w:r>
              <w:t>176.64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997.88</w:t>
            </w:r>
          </w:p>
        </w:tc>
        <w:tc>
          <w:tcPr>
            <w:tcW w:w="2551" w:type="dxa"/>
            <w:vAlign w:val="center"/>
          </w:tcPr>
          <w:p>
            <w:pPr>
              <w:pStyle w:val="11"/>
            </w:pPr>
            <w:r>
              <w:t>997.88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208.58</w:t>
            </w:r>
          </w:p>
        </w:tc>
        <w:tc>
          <w:tcPr>
            <w:tcW w:w="2551" w:type="dxa"/>
            <w:vAlign w:val="center"/>
          </w:tcPr>
          <w:p>
            <w:pPr>
              <w:pStyle w:val="11"/>
            </w:pPr>
            <w:r>
              <w:t>208.58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267.18</w:t>
            </w:r>
          </w:p>
        </w:tc>
        <w:tc>
          <w:tcPr>
            <w:tcW w:w="2551" w:type="dxa"/>
            <w:vAlign w:val="center"/>
          </w:tcPr>
          <w:p>
            <w:pPr>
              <w:pStyle w:val="11"/>
            </w:pPr>
            <w:r>
              <w:t>267.18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90.49</w:t>
            </w:r>
          </w:p>
        </w:tc>
        <w:tc>
          <w:tcPr>
            <w:tcW w:w="2551" w:type="dxa"/>
            <w:vAlign w:val="center"/>
          </w:tcPr>
          <w:p>
            <w:pPr>
              <w:pStyle w:val="11"/>
            </w:pPr>
            <w:r>
              <w:t>90.49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135.30</w:t>
            </w:r>
          </w:p>
        </w:tc>
        <w:tc>
          <w:tcPr>
            <w:tcW w:w="2551" w:type="dxa"/>
            <w:vAlign w:val="center"/>
          </w:tcPr>
          <w:p>
            <w:pPr>
              <w:pStyle w:val="11"/>
            </w:pPr>
            <w:r>
              <w:t>135.30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108.35</w:t>
            </w:r>
          </w:p>
        </w:tc>
        <w:tc>
          <w:tcPr>
            <w:tcW w:w="2551" w:type="dxa"/>
            <w:vAlign w:val="center"/>
          </w:tcPr>
          <w:p>
            <w:pPr>
              <w:pStyle w:val="11"/>
            </w:pPr>
            <w:r>
              <w:t>108.35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35.74</w:t>
            </w:r>
          </w:p>
        </w:tc>
        <w:tc>
          <w:tcPr>
            <w:tcW w:w="2551" w:type="dxa"/>
            <w:vAlign w:val="center"/>
          </w:tcPr>
          <w:p>
            <w:pPr>
              <w:pStyle w:val="11"/>
            </w:pPr>
            <w:r>
              <w:t>35.74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27.66</w:t>
            </w:r>
          </w:p>
        </w:tc>
        <w:tc>
          <w:tcPr>
            <w:tcW w:w="2551" w:type="dxa"/>
            <w:vAlign w:val="center"/>
          </w:tcPr>
          <w:p>
            <w:pPr>
              <w:pStyle w:val="11"/>
            </w:pPr>
            <w:r>
              <w:t>27.66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41.81</w:t>
            </w:r>
          </w:p>
        </w:tc>
        <w:tc>
          <w:tcPr>
            <w:tcW w:w="2551" w:type="dxa"/>
            <w:vAlign w:val="center"/>
          </w:tcPr>
          <w:p>
            <w:pPr>
              <w:pStyle w:val="11"/>
            </w:pPr>
            <w:r>
              <w:t>41.81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82.77</w:t>
            </w:r>
          </w:p>
        </w:tc>
        <w:tc>
          <w:tcPr>
            <w:tcW w:w="2551" w:type="dxa"/>
            <w:vAlign w:val="center"/>
          </w:tcPr>
          <w:p>
            <w:pPr>
              <w:pStyle w:val="11"/>
            </w:pPr>
            <w:r>
              <w:t>82.77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175.15</w:t>
            </w:r>
          </w:p>
        </w:tc>
        <w:tc>
          <w:tcPr>
            <w:tcW w:w="2551" w:type="dxa"/>
            <w:vAlign w:val="center"/>
          </w:tcPr>
          <w:p>
            <w:pPr>
              <w:pStyle w:val="11"/>
            </w:pPr>
          </w:p>
        </w:tc>
        <w:tc>
          <w:tcPr>
            <w:tcW w:w="2551" w:type="dxa"/>
            <w:vAlign w:val="center"/>
          </w:tcPr>
          <w:p>
            <w:pPr>
              <w:pStyle w:val="11"/>
            </w:pPr>
            <w:r>
              <w:t>175.15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26.71</w:t>
            </w:r>
          </w:p>
        </w:tc>
        <w:tc>
          <w:tcPr>
            <w:tcW w:w="2551" w:type="dxa"/>
            <w:vAlign w:val="center"/>
          </w:tcPr>
          <w:p>
            <w:pPr>
              <w:pStyle w:val="11"/>
            </w:pPr>
          </w:p>
        </w:tc>
        <w:tc>
          <w:tcPr>
            <w:tcW w:w="2551" w:type="dxa"/>
            <w:vAlign w:val="center"/>
          </w:tcPr>
          <w:p>
            <w:pPr>
              <w:pStyle w:val="11"/>
            </w:pPr>
            <w:r>
              <w:t>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22.90</w:t>
            </w:r>
          </w:p>
        </w:tc>
        <w:tc>
          <w:tcPr>
            <w:tcW w:w="2551" w:type="dxa"/>
            <w:vAlign w:val="center"/>
          </w:tcPr>
          <w:p>
            <w:pPr>
              <w:pStyle w:val="11"/>
            </w:pPr>
          </w:p>
        </w:tc>
        <w:tc>
          <w:tcPr>
            <w:tcW w:w="2551" w:type="dxa"/>
            <w:vAlign w:val="center"/>
          </w:tcPr>
          <w:p>
            <w:pPr>
              <w:pStyle w:val="11"/>
            </w:pPr>
            <w:r>
              <w:t>22.90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6.34</w:t>
            </w:r>
          </w:p>
        </w:tc>
        <w:tc>
          <w:tcPr>
            <w:tcW w:w="2551" w:type="dxa"/>
            <w:vAlign w:val="center"/>
          </w:tcPr>
          <w:p>
            <w:pPr>
              <w:pStyle w:val="11"/>
            </w:pPr>
          </w:p>
        </w:tc>
        <w:tc>
          <w:tcPr>
            <w:tcW w:w="2551" w:type="dxa"/>
            <w:vAlign w:val="center"/>
          </w:tcPr>
          <w:p>
            <w:pPr>
              <w:pStyle w:val="11"/>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5.21</w:t>
            </w:r>
          </w:p>
        </w:tc>
        <w:tc>
          <w:tcPr>
            <w:tcW w:w="2551" w:type="dxa"/>
            <w:vAlign w:val="center"/>
          </w:tcPr>
          <w:p>
            <w:pPr>
              <w:pStyle w:val="11"/>
            </w:pPr>
          </w:p>
        </w:tc>
        <w:tc>
          <w:tcPr>
            <w:tcW w:w="2551" w:type="dxa"/>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31.56</w:t>
            </w:r>
          </w:p>
        </w:tc>
        <w:tc>
          <w:tcPr>
            <w:tcW w:w="2551" w:type="dxa"/>
            <w:vAlign w:val="center"/>
          </w:tcPr>
          <w:p>
            <w:pPr>
              <w:pStyle w:val="11"/>
            </w:pPr>
          </w:p>
        </w:tc>
        <w:tc>
          <w:tcPr>
            <w:tcW w:w="2551" w:type="dxa"/>
            <w:vAlign w:val="center"/>
          </w:tcPr>
          <w:p>
            <w:pPr>
              <w:pStyle w:val="11"/>
            </w:pPr>
            <w:r>
              <w:t>31.56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5.03</w:t>
            </w:r>
          </w:p>
        </w:tc>
        <w:tc>
          <w:tcPr>
            <w:tcW w:w="2551" w:type="dxa"/>
            <w:vAlign w:val="center"/>
          </w:tcPr>
          <w:p>
            <w:pPr>
              <w:pStyle w:val="11"/>
            </w:pPr>
          </w:p>
        </w:tc>
        <w:tc>
          <w:tcPr>
            <w:tcW w:w="2551" w:type="dxa"/>
            <w:vAlign w:val="center"/>
          </w:tcPr>
          <w:p>
            <w:pPr>
              <w:pStyle w:val="11"/>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91.32</w:t>
            </w:r>
          </w:p>
        </w:tc>
        <w:tc>
          <w:tcPr>
            <w:tcW w:w="2551" w:type="dxa"/>
            <w:vAlign w:val="center"/>
          </w:tcPr>
          <w:p>
            <w:pPr>
              <w:pStyle w:val="11"/>
            </w:pPr>
            <w:r>
              <w:t>91.32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78.62</w:t>
            </w:r>
          </w:p>
        </w:tc>
        <w:tc>
          <w:tcPr>
            <w:tcW w:w="2551" w:type="dxa"/>
            <w:vAlign w:val="center"/>
          </w:tcPr>
          <w:p>
            <w:pPr>
              <w:pStyle w:val="11"/>
            </w:pPr>
            <w:r>
              <w:t>78.62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9.59</w:t>
            </w:r>
          </w:p>
        </w:tc>
        <w:tc>
          <w:tcPr>
            <w:tcW w:w="2551" w:type="dxa"/>
            <w:vAlign w:val="center"/>
          </w:tcPr>
          <w:p>
            <w:pPr>
              <w:pStyle w:val="11"/>
            </w:pPr>
            <w:r>
              <w:t>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81</w:t>
            </w:r>
            <w:r>
              <w:rPr>
                <w:rFonts w:hint="eastAsia"/>
                <w:lang w:val="en-US" w:eastAsia="zh-CN"/>
              </w:rPr>
              <w:t>0</w:t>
            </w:r>
            <w:r>
              <w:t>0</w:t>
            </w:r>
            <w:r>
              <w:rPr>
                <w:rFonts w:hint="eastAsia"/>
                <w:lang w:val="en-US" w:eastAsia="zh-CN"/>
              </w:rPr>
              <w:t>01</w:t>
            </w:r>
            <w:r>
              <w:t>石家庄市藁城区南董镇人民政府</w:t>
            </w:r>
            <w:r>
              <w:rPr>
                <w:rFonts w:hint="eastAsia"/>
                <w:lang w:val="en-US" w:eastAsia="zh-CN"/>
              </w:rPr>
              <w:t>本级</w:t>
            </w:r>
          </w:p>
        </w:tc>
        <w:tc>
          <w:tcPr>
            <w:tcW w:w="1643"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lang w:val="en-US" w:eastAsia="zh-CN"/>
              </w:rPr>
            </w:pPr>
            <w:r>
              <w:rPr>
                <w:rFonts w:hint="eastAsia"/>
                <w:lang w:val="en-US" w:eastAsia="zh-CN"/>
              </w:rPr>
              <w:t>4.40</w:t>
            </w:r>
          </w:p>
        </w:tc>
        <w:tc>
          <w:tcPr>
            <w:tcW w:w="1643" w:type="dxa"/>
            <w:vAlign w:val="center"/>
          </w:tcPr>
          <w:p>
            <w:pPr>
              <w:pStyle w:val="15"/>
              <w:rPr>
                <w:rFonts w:hint="default" w:eastAsia="方正书宋_GBK"/>
                <w:lang w:val="en-US" w:eastAsia="zh-CN"/>
              </w:rPr>
            </w:pPr>
            <w:r>
              <w:rPr>
                <w:rFonts w:hint="eastAsia"/>
                <w:lang w:val="en-US" w:eastAsia="zh-CN"/>
              </w:rPr>
              <w:t>4.40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4.40</w:t>
            </w:r>
          </w:p>
        </w:tc>
        <w:tc>
          <w:tcPr>
            <w:tcW w:w="1643" w:type="dxa"/>
            <w:vAlign w:val="center"/>
          </w:tcPr>
          <w:p>
            <w:pPr>
              <w:pStyle w:val="11"/>
              <w:rPr>
                <w:rFonts w:hint="default" w:eastAsia="方正书宋_GBK"/>
                <w:lang w:val="en-US" w:eastAsia="zh-CN"/>
              </w:rPr>
            </w:pPr>
            <w:r>
              <w:rPr>
                <w:rFonts w:hint="eastAsia"/>
                <w:lang w:val="en-US" w:eastAsia="zh-CN"/>
              </w:rP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rPr>
                <w:rFonts w:hint="default" w:eastAsia="方正书宋_GBK"/>
                <w:lang w:val="en-US" w:eastAsia="zh-CN"/>
              </w:rPr>
            </w:pPr>
            <w:r>
              <w:rPr>
                <w:rFonts w:hint="eastAsia"/>
                <w:lang w:val="en-US" w:eastAsia="zh-CN"/>
              </w:rPr>
              <w:t>4.40</w:t>
            </w:r>
          </w:p>
        </w:tc>
        <w:tc>
          <w:tcPr>
            <w:tcW w:w="1643" w:type="dxa"/>
            <w:vAlign w:val="center"/>
          </w:tcPr>
          <w:p>
            <w:pPr>
              <w:pStyle w:val="11"/>
              <w:rPr>
                <w:rFonts w:hint="default" w:eastAsia="方正书宋_GBK"/>
                <w:lang w:val="en-US" w:eastAsia="zh-CN"/>
              </w:rPr>
            </w:pPr>
            <w:r>
              <w:rPr>
                <w:rFonts w:hint="eastAsia"/>
                <w:lang w:val="en-US" w:eastAsia="zh-CN"/>
              </w:rP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4.40</w:t>
            </w:r>
          </w:p>
        </w:tc>
        <w:tc>
          <w:tcPr>
            <w:tcW w:w="1643" w:type="dxa"/>
            <w:vAlign w:val="center"/>
          </w:tcPr>
          <w:p>
            <w:pPr>
              <w:pStyle w:val="11"/>
            </w:pPr>
            <w:r>
              <w:t>4.40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（1）党务、政务管理</w:t>
      </w:r>
    </w:p>
    <w:p>
      <w:pPr>
        <w:pStyle w:val="22"/>
      </w:pPr>
      <w:r>
        <w:t>处理机关日常工作的协调和督促检查；负责机关文电、值班、会务、机要、保密、档案、党务政务公开、对外联络、后勤保障等日常运转工作；负责机关和所属单位财务及国有资产管理等工作。</w:t>
      </w:r>
    </w:p>
    <w:p>
      <w:pPr>
        <w:pStyle w:val="22"/>
      </w:pPr>
      <w:r>
        <w:t>（2）党建工作</w:t>
      </w:r>
    </w:p>
    <w:p>
      <w:pPr>
        <w:pStyle w:val="22"/>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22"/>
      </w:pPr>
      <w:r>
        <w:t>（3）社会治理和应急管理</w:t>
      </w:r>
    </w:p>
    <w:p>
      <w:pPr>
        <w:pStyle w:val="22"/>
      </w:pPr>
      <w:r>
        <w:t>做好应急管理工作，落实应急管理责任；做好基层治理综合指挥工作；做好基层网格化管理工作；做好社会治安综合治理工作，做好司法、宗教工作，打击邪教；做好群众来信来访、搞好农村矛盾纠纷排查调处；妥善处理突发性、群体性事件，维护社会稳定；打击各类犯罪活动。</w:t>
      </w:r>
    </w:p>
    <w:p>
      <w:pPr>
        <w:pStyle w:val="22"/>
      </w:pPr>
      <w:r>
        <w:t>（4）自然资源和生态环境保护</w:t>
      </w:r>
    </w:p>
    <w:p>
      <w:pPr>
        <w:pStyle w:val="22"/>
      </w:pPr>
      <w:r>
        <w:t>承担自然资源保护和治理环境污染。依法保护和监管自然资源，改善人居环境，治理大气、水、土地等污染。</w:t>
      </w:r>
    </w:p>
    <w:p>
      <w:pPr>
        <w:pStyle w:val="22"/>
      </w:pPr>
      <w:r>
        <w:t>（5）综合行政执法</w:t>
      </w:r>
    </w:p>
    <w:p>
      <w:pPr>
        <w:pStyle w:val="22"/>
      </w:pPr>
      <w:r>
        <w:t>做好城乡建设、生态环境、文化市场、农业农村、安全生产、民族宗教等领域行政执法工作。</w:t>
      </w:r>
    </w:p>
    <w:p>
      <w:pPr>
        <w:pStyle w:val="22"/>
      </w:pPr>
      <w:r>
        <w:t>（6）行政综合服务</w:t>
      </w:r>
    </w:p>
    <w:p>
      <w:pPr>
        <w:pStyle w:val="22"/>
      </w:pPr>
      <w:r>
        <w:t>做好行政审批服务事项的受理、办理工作，提供政策和业务咨询；指导村便民服务站点建设。负责镇财政预算管理与执行，负责镇机关收支活动，组织实施镇财务核算及监督工作。</w:t>
      </w:r>
    </w:p>
    <w:p>
      <w:pPr>
        <w:pStyle w:val="22"/>
      </w:pPr>
      <w:r>
        <w:t>（7）退役军人服务管理</w:t>
      </w:r>
    </w:p>
    <w:p>
      <w:pPr>
        <w:pStyle w:val="22"/>
      </w:pPr>
      <w:r>
        <w:t>宣传贯彻退役军人法律法规，做好退役军人就业、创业扶持、拥军优属、优抚帮扶、走访慰问、信访接待、权益保障等工作；配合武装部做好征兵、民兵、预备役、国防教育相关工作。</w:t>
      </w:r>
    </w:p>
    <w:p>
      <w:pPr>
        <w:pStyle w:val="22"/>
      </w:pPr>
      <w:r>
        <w:t>（8）农业综合服务</w:t>
      </w:r>
    </w:p>
    <w:p>
      <w:pPr>
        <w:pStyle w:val="22"/>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22"/>
      </w:pPr>
      <w:r>
        <w:t>（9）社会救助政策及管理</w:t>
      </w:r>
    </w:p>
    <w:p>
      <w:pPr>
        <w:pStyle w:val="22"/>
      </w:pPr>
      <w:r>
        <w:t>承担社会救助体系建设，负责农村居民最低生活保障、五保供养、医疗救助。</w:t>
      </w:r>
    </w:p>
    <w:p>
      <w:pPr>
        <w:pStyle w:val="22"/>
      </w:pPr>
      <w:r>
        <w:t>（10）村财镇管、涉农资金</w:t>
      </w:r>
    </w:p>
    <w:p>
      <w:pPr>
        <w:pStyle w:val="22"/>
      </w:pPr>
      <w:r>
        <w:t>负责村级财务核算及监督工作，负责涉农资金的落实，负责管理镇国有资产，实施债权债务监督管理。</w:t>
      </w:r>
    </w:p>
    <w:p>
      <w:pPr>
        <w:pStyle w:val="22"/>
      </w:pPr>
      <w:r>
        <w:t>（11）文教卫生</w:t>
      </w:r>
    </w:p>
    <w:p>
      <w:pPr>
        <w:pStyle w:val="22"/>
      </w:pPr>
      <w:r>
        <w:t>配合教育、科技、文体、卫生等部门搞好义务教育，普及推广科学技术，丰富农村文化生活，开展全民健身运动，推行和完善新型合作医疗制度，提高参保率，加强农村食品安全监管。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石家庄市藁城区南董镇人民政府本级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反映本单位当年全部收入。2024年预算收入1617.67万元，其中：一般公共预算收入1617.67万元，基金预算收入0万元，财政专户核拨收入0万元，其他来源收入0万元。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1617.67万元，其中基本支出1265.84万元，包括人员经费1089.20万元和日常公用经费176.64万元；项目支出351.82万元，主要为公用经费（机关运转保障）支出49.94万元，公用经费（兰盾安保人员工资）支出25.26万元，公用经费（临时人员工资）支出40万元，金五线公路占地补偿费支出12.31万元，农村独生子女费支出5.5万元，学区工会费支出22.90万元，原经贸系统关闭企业下放回乡的合同工、副业工涉军人员生活补贴支出2.90万元，政府工会费支出4.25万元，综合业务运转保障经费支出197.66万元；其他支出0万元。</w:t>
      </w:r>
    </w:p>
    <w:p>
      <w:pPr>
        <w:pStyle w:val="18"/>
      </w:pPr>
      <w:r>
        <w:t>3、比上年增减情况</w:t>
      </w:r>
    </w:p>
    <w:p>
      <w:pPr>
        <w:pStyle w:val="18"/>
      </w:pPr>
      <w:r>
        <w:t>2024年单位预算收支安排1617.67万元，较2023年减少210.99万元，其中：基本支出增加45.38万元，主要是人员增加，相应增加人员经费和日常公用经费；项目支出增加165.60万元，主要是增加了综合业务蕴章保障经费项目；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2024年，本单位机关运行经费共计安排176.64万元，主要用于保证机关正常运转的办公及电费、邮电费、维修（护）费、租赁费、劳务费、委托业务费、福利费、工会经费、公务车运行维护费等支出。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本单位财政拨款“三公”经费预算安排4.4万元，其中：因公出国（境）费0万元，与上年持平，无增减变化；公务用车购置及运维费4.4万元（其中：公务用车购置费0万元，较上年减少10万元，原因是没有列购置公务用车预算；公务用车运行维护费4.4万元，与上年持平，无增减变化)；公务接待费0万元，与上年持平，无增减变化。“三公”经费与上年相比减少10万元，没有列购置公务用车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1、公用经费（机关运转保障）绩效目标表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13010924P000001102715</w:t>
            </w:r>
          </w:p>
        </w:tc>
        <w:tc>
          <w:tcPr>
            <w:tcW w:w="2835" w:type="dxa"/>
            <w:vAlign w:val="center"/>
          </w:tcPr>
          <w:p>
            <w:pPr>
              <w:pStyle w:val="10"/>
            </w:pPr>
            <w:r>
              <w:t>项目名称</w:t>
            </w:r>
          </w:p>
        </w:tc>
        <w:tc>
          <w:tcPr>
            <w:tcW w:w="6094" w:type="dxa"/>
            <w:gridSpan w:val="3"/>
            <w:vAlign w:val="center"/>
          </w:tcPr>
          <w:p>
            <w:pPr>
              <w:pStyle w:val="12"/>
            </w:pPr>
            <w:r>
              <w:t>公用经费（机关运转保障）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40.94</w:t>
            </w:r>
          </w:p>
        </w:tc>
        <w:tc>
          <w:tcPr>
            <w:tcW w:w="2835" w:type="dxa"/>
            <w:vAlign w:val="center"/>
          </w:tcPr>
          <w:p>
            <w:pPr>
              <w:pStyle w:val="10"/>
            </w:pPr>
            <w:r>
              <w:t>其中：财政    资金</w:t>
            </w:r>
          </w:p>
        </w:tc>
        <w:tc>
          <w:tcPr>
            <w:tcW w:w="2551" w:type="dxa"/>
            <w:vAlign w:val="center"/>
          </w:tcPr>
          <w:p>
            <w:pPr>
              <w:pStyle w:val="12"/>
            </w:pPr>
            <w:r>
              <w:t>40.94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统筹南董镇机关运转环保、土地、城建、信访、人大、武装、安全生产、食品安全、创城、社会综合治理、人居环境整治等工作经费支出，保障各项工作正常开展，提升政府各科室部门办公效率及服务水平，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统筹南董镇机关运转环保、土地、城建、信访、人大、武装、安全生产、食品安全、创城、社会综合治理、人居环境整治等工作经费支出，保障各项工作正常开展，提升政府各科室部门办公效率及服务水平，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经费保障率</w:t>
            </w:r>
          </w:p>
        </w:tc>
        <w:tc>
          <w:tcPr>
            <w:tcW w:w="5386" w:type="dxa"/>
            <w:vAlign w:val="center"/>
          </w:tcPr>
          <w:p>
            <w:pPr>
              <w:pStyle w:val="12"/>
            </w:pPr>
            <w:r>
              <w:t>为南董镇环保、土地、信访、安全生产、食品安全、社会综合治理、人居环境整治、人大、武装各项工作顺利开展提供足额资金</w:t>
            </w:r>
          </w:p>
        </w:tc>
        <w:tc>
          <w:tcPr>
            <w:tcW w:w="2268" w:type="dxa"/>
            <w:vAlign w:val="center"/>
          </w:tcPr>
          <w:p>
            <w:pPr>
              <w:pStyle w:val="12"/>
            </w:pPr>
            <w:r>
              <w:t>负责机关运转保障的各项工作</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按时完成上级安排的各项工作</w:t>
            </w:r>
          </w:p>
        </w:tc>
        <w:tc>
          <w:tcPr>
            <w:tcW w:w="2268" w:type="dxa"/>
            <w:vAlign w:val="center"/>
          </w:tcPr>
          <w:p>
            <w:pPr>
              <w:pStyle w:val="12"/>
            </w:pPr>
            <w:r>
              <w:t>及时</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2、公用经费（兰盾安保人员工资）绩效目标表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13010924P00000110272Q</w:t>
            </w:r>
          </w:p>
        </w:tc>
        <w:tc>
          <w:tcPr>
            <w:tcW w:w="2835" w:type="dxa"/>
            <w:vAlign w:val="center"/>
          </w:tcPr>
          <w:p>
            <w:pPr>
              <w:pStyle w:val="10"/>
            </w:pPr>
            <w:r>
              <w:t>项目名称</w:t>
            </w:r>
          </w:p>
        </w:tc>
        <w:tc>
          <w:tcPr>
            <w:tcW w:w="6094" w:type="dxa"/>
            <w:gridSpan w:val="3"/>
            <w:vAlign w:val="center"/>
          </w:tcPr>
          <w:p>
            <w:pPr>
              <w:pStyle w:val="12"/>
            </w:pPr>
            <w:r>
              <w:t>公用经费（兰盾安保人员工资）</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25.26</w:t>
            </w:r>
          </w:p>
        </w:tc>
        <w:tc>
          <w:tcPr>
            <w:tcW w:w="2835" w:type="dxa"/>
            <w:vAlign w:val="center"/>
          </w:tcPr>
          <w:p>
            <w:pPr>
              <w:pStyle w:val="10"/>
            </w:pPr>
            <w:r>
              <w:t>其中：财政    资金</w:t>
            </w:r>
          </w:p>
        </w:tc>
        <w:tc>
          <w:tcPr>
            <w:tcW w:w="2551" w:type="dxa"/>
            <w:vAlign w:val="center"/>
          </w:tcPr>
          <w:p>
            <w:pPr>
              <w:pStyle w:val="12"/>
            </w:pPr>
            <w:r>
              <w:t>25.26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用于支付兰盾安保人员工资及服务管理费。确保巡防队员工资发放到位，正常开展工作，保障社会治安稳定。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1.用于支付兰盾安保人员工资及服务管理费。确保巡防队员工资发放到位，正常开展工作，保障社会治安稳定。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拨付安保人数</w:t>
            </w:r>
          </w:p>
        </w:tc>
        <w:tc>
          <w:tcPr>
            <w:tcW w:w="5386" w:type="dxa"/>
            <w:vAlign w:val="center"/>
          </w:tcPr>
          <w:p>
            <w:pPr>
              <w:pStyle w:val="12"/>
            </w:pPr>
            <w:r>
              <w:t>联防队员工资发放情况（人数）</w:t>
            </w:r>
          </w:p>
        </w:tc>
        <w:tc>
          <w:tcPr>
            <w:tcW w:w="2268" w:type="dxa"/>
            <w:vAlign w:val="center"/>
          </w:tcPr>
          <w:p>
            <w:pPr>
              <w:pStyle w:val="12"/>
            </w:pPr>
            <w:r>
              <w:t>7名</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发放资金效率</w:t>
            </w:r>
          </w:p>
        </w:tc>
        <w:tc>
          <w:tcPr>
            <w:tcW w:w="5386" w:type="dxa"/>
            <w:vAlign w:val="center"/>
          </w:tcPr>
          <w:p>
            <w:pPr>
              <w:pStyle w:val="12"/>
            </w:pPr>
            <w:r>
              <w:t>按照安排资金数量发放经费</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工资及时发放</w:t>
            </w:r>
          </w:p>
        </w:tc>
        <w:tc>
          <w:tcPr>
            <w:tcW w:w="5386" w:type="dxa"/>
            <w:vAlign w:val="center"/>
          </w:tcPr>
          <w:p>
            <w:pPr>
              <w:pStyle w:val="12"/>
            </w:pPr>
            <w:r>
              <w:t>工资及时发放</w:t>
            </w:r>
          </w:p>
        </w:tc>
        <w:tc>
          <w:tcPr>
            <w:tcW w:w="2268" w:type="dxa"/>
            <w:vAlign w:val="center"/>
          </w:tcPr>
          <w:p>
            <w:pPr>
              <w:pStyle w:val="12"/>
            </w:pPr>
            <w:r>
              <w:t>每季度最后一月月初发放本季度工资</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工资标准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群众对各项工作的满意度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13010924P00000110273C</w:t>
            </w:r>
          </w:p>
        </w:tc>
        <w:tc>
          <w:tcPr>
            <w:tcW w:w="2835" w:type="dxa"/>
            <w:vAlign w:val="center"/>
          </w:tcPr>
          <w:p>
            <w:pPr>
              <w:pStyle w:val="10"/>
            </w:pPr>
            <w:r>
              <w:t>项目名称</w:t>
            </w:r>
          </w:p>
        </w:tc>
        <w:tc>
          <w:tcPr>
            <w:tcW w:w="6094" w:type="dxa"/>
            <w:gridSpan w:val="3"/>
            <w:vAlign w:val="center"/>
          </w:tcPr>
          <w:p>
            <w:pPr>
              <w:pStyle w:val="12"/>
            </w:pPr>
            <w:r>
              <w:t>公用经费（临时人员工资）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确保临时人员工资发放到位，更好的做好相关工作。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1.确保临时人员工资发放到位，更好的做好相关工作。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拨付临时人员人数</w:t>
            </w:r>
          </w:p>
        </w:tc>
        <w:tc>
          <w:tcPr>
            <w:tcW w:w="2268" w:type="dxa"/>
            <w:vAlign w:val="center"/>
          </w:tcPr>
          <w:p>
            <w:pPr>
              <w:pStyle w:val="12"/>
            </w:pPr>
            <w:r>
              <w:t>≥14名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临时人员工资足额发放</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资金及时发放</w:t>
            </w:r>
          </w:p>
        </w:tc>
        <w:tc>
          <w:tcPr>
            <w:tcW w:w="5386" w:type="dxa"/>
            <w:vAlign w:val="center"/>
          </w:tcPr>
          <w:p>
            <w:pPr>
              <w:pStyle w:val="12"/>
            </w:pPr>
            <w:r>
              <w:t>按照进度发放工资</w:t>
            </w:r>
          </w:p>
        </w:tc>
        <w:tc>
          <w:tcPr>
            <w:tcW w:w="2268" w:type="dxa"/>
            <w:vAlign w:val="center"/>
          </w:tcPr>
          <w:p>
            <w:pPr>
              <w:pStyle w:val="12"/>
            </w:pPr>
            <w:r>
              <w:t>每月中旬发放上月工资</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临时人员工资标准</w:t>
            </w:r>
          </w:p>
        </w:tc>
        <w:tc>
          <w:tcPr>
            <w:tcW w:w="5386" w:type="dxa"/>
            <w:vAlign w:val="center"/>
          </w:tcPr>
          <w:p>
            <w:pPr>
              <w:pStyle w:val="12"/>
            </w:pPr>
            <w:r>
              <w:t>临时人员工资标准</w:t>
            </w:r>
          </w:p>
        </w:tc>
        <w:tc>
          <w:tcPr>
            <w:tcW w:w="2268" w:type="dxa"/>
            <w:vAlign w:val="center"/>
          </w:tcPr>
          <w:p>
            <w:pPr>
              <w:pStyle w:val="12"/>
            </w:pPr>
            <w:r>
              <w:t>按工资标准</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群众对各项工作的满意度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4、金五公路占地补偿费绩效目标表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13010924P000001102792</w:t>
            </w:r>
          </w:p>
        </w:tc>
        <w:tc>
          <w:tcPr>
            <w:tcW w:w="2835" w:type="dxa"/>
            <w:vAlign w:val="center"/>
          </w:tcPr>
          <w:p>
            <w:pPr>
              <w:pStyle w:val="10"/>
            </w:pPr>
            <w:r>
              <w:t>项目名称</w:t>
            </w:r>
          </w:p>
        </w:tc>
        <w:tc>
          <w:tcPr>
            <w:tcW w:w="6094" w:type="dxa"/>
            <w:gridSpan w:val="3"/>
            <w:vAlign w:val="center"/>
          </w:tcPr>
          <w:p>
            <w:pPr>
              <w:pStyle w:val="12"/>
            </w:pPr>
            <w:r>
              <w:t>金五公路占地补偿费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12.31</w:t>
            </w:r>
          </w:p>
        </w:tc>
        <w:tc>
          <w:tcPr>
            <w:tcW w:w="2835" w:type="dxa"/>
            <w:vAlign w:val="center"/>
          </w:tcPr>
          <w:p>
            <w:pPr>
              <w:pStyle w:val="10"/>
            </w:pPr>
            <w:r>
              <w:t>其中：财政    资金</w:t>
            </w:r>
          </w:p>
        </w:tc>
        <w:tc>
          <w:tcPr>
            <w:tcW w:w="2551" w:type="dxa"/>
            <w:vAlign w:val="center"/>
          </w:tcPr>
          <w:p>
            <w:pPr>
              <w:pStyle w:val="12"/>
            </w:pPr>
            <w:r>
              <w:t>12.31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及时拨付公路占地补偿款，保障占地农民合法权益，促进社会和谐稳定。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1.及时拨付公路占地补偿款，保障占地农民合法权益，促进社会和谐稳定。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补偿亩数</w:t>
            </w:r>
          </w:p>
        </w:tc>
        <w:tc>
          <w:tcPr>
            <w:tcW w:w="5386" w:type="dxa"/>
            <w:vAlign w:val="center"/>
          </w:tcPr>
          <w:p>
            <w:pPr>
              <w:pStyle w:val="12"/>
            </w:pPr>
            <w:r>
              <w:t>拨付占地补亩数</w:t>
            </w:r>
          </w:p>
        </w:tc>
        <w:tc>
          <w:tcPr>
            <w:tcW w:w="2268" w:type="dxa"/>
            <w:vAlign w:val="center"/>
          </w:tcPr>
          <w:p>
            <w:pPr>
              <w:pStyle w:val="12"/>
            </w:pPr>
            <w:r>
              <w:t>≥273.57亩</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资金发放完成率</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资金发放及时率（资金及时发放）</w:t>
            </w:r>
          </w:p>
        </w:tc>
        <w:tc>
          <w:tcPr>
            <w:tcW w:w="5386" w:type="dxa"/>
            <w:vAlign w:val="center"/>
          </w:tcPr>
          <w:p>
            <w:pPr>
              <w:pStyle w:val="12"/>
            </w:pPr>
            <w:r>
              <w:t>资金发放及时率</w:t>
            </w:r>
          </w:p>
        </w:tc>
        <w:tc>
          <w:tcPr>
            <w:tcW w:w="2268" w:type="dxa"/>
            <w:vAlign w:val="center"/>
          </w:tcPr>
          <w:p>
            <w:pPr>
              <w:pStyle w:val="12"/>
            </w:pPr>
            <w:r>
              <w:t>12月底</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占地补偿标准</w:t>
            </w:r>
          </w:p>
        </w:tc>
        <w:tc>
          <w:tcPr>
            <w:tcW w:w="2268" w:type="dxa"/>
            <w:vAlign w:val="center"/>
          </w:tcPr>
          <w:p>
            <w:pPr>
              <w:pStyle w:val="12"/>
            </w:pPr>
            <w:r>
              <w:t>标准1500元/亩，南董镇政府负担30%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13010924P00000110277T</w:t>
            </w:r>
          </w:p>
        </w:tc>
        <w:tc>
          <w:tcPr>
            <w:tcW w:w="2835" w:type="dxa"/>
            <w:vAlign w:val="center"/>
          </w:tcPr>
          <w:p>
            <w:pPr>
              <w:pStyle w:val="10"/>
            </w:pPr>
            <w:r>
              <w:t>项目名称</w:t>
            </w:r>
          </w:p>
        </w:tc>
        <w:tc>
          <w:tcPr>
            <w:tcW w:w="6094"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w:t>
            </w:r>
          </w:p>
        </w:tc>
        <w:tc>
          <w:tcPr>
            <w:tcW w:w="2835" w:type="dxa"/>
            <w:vAlign w:val="center"/>
          </w:tcPr>
          <w:p>
            <w:pPr>
              <w:pStyle w:val="10"/>
            </w:pPr>
            <w:r>
              <w:t>其中：财政    资金</w:t>
            </w:r>
          </w:p>
        </w:tc>
        <w:tc>
          <w:tcPr>
            <w:tcW w:w="2551" w:type="dxa"/>
            <w:vAlign w:val="center"/>
          </w:tcPr>
          <w:p>
            <w:pPr>
              <w:pStyle w:val="12"/>
            </w:pPr>
            <w:r>
              <w:t>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按照相关政策要求为农村独生子女家庭发放补助。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按照相关政策要求为农村独生子女家庭发放补助。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拨付独生子女费人数</w:t>
            </w:r>
          </w:p>
        </w:tc>
        <w:tc>
          <w:tcPr>
            <w:tcW w:w="2268" w:type="dxa"/>
            <w:vAlign w:val="center"/>
          </w:tcPr>
          <w:p>
            <w:pPr>
              <w:pStyle w:val="12"/>
            </w:pPr>
            <w:r>
              <w:t>≥400人</w:t>
            </w:r>
          </w:p>
        </w:tc>
        <w:tc>
          <w:tcPr>
            <w:tcW w:w="1276" w:type="dxa"/>
            <w:vAlign w:val="center"/>
          </w:tcPr>
          <w:p>
            <w:pPr>
              <w:pStyle w:val="12"/>
            </w:pPr>
            <w:r>
              <w:t>独生子女家庭统计表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独生子女费足额发放</w:t>
            </w:r>
          </w:p>
        </w:tc>
        <w:tc>
          <w:tcPr>
            <w:tcW w:w="2268" w:type="dxa"/>
            <w:vAlign w:val="center"/>
          </w:tcPr>
          <w:p>
            <w:pPr>
              <w:pStyle w:val="12"/>
            </w:pPr>
            <w:r>
              <w:t>≥90 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按照时间安排发放</w:t>
            </w:r>
          </w:p>
        </w:tc>
        <w:tc>
          <w:tcPr>
            <w:tcW w:w="2268" w:type="dxa"/>
            <w:vAlign w:val="center"/>
          </w:tcPr>
          <w:p>
            <w:pPr>
              <w:pStyle w:val="12"/>
            </w:pPr>
            <w:r>
              <w:t>每年12月底发放</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农村独生子女费标准</w:t>
            </w:r>
          </w:p>
        </w:tc>
        <w:tc>
          <w:tcPr>
            <w:tcW w:w="2268" w:type="dxa"/>
            <w:vAlign w:val="center"/>
          </w:tcPr>
          <w:p>
            <w:pPr>
              <w:pStyle w:val="12"/>
            </w:pPr>
            <w:r>
              <w:t>10元/每人每月</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拨付工作在全镇形成的重要影响得到群众认可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独生子女家庭满意度</w:t>
            </w:r>
          </w:p>
        </w:tc>
        <w:tc>
          <w:tcPr>
            <w:tcW w:w="5386" w:type="dxa"/>
            <w:vAlign w:val="center"/>
          </w:tcPr>
          <w:p>
            <w:pPr>
              <w:pStyle w:val="12"/>
            </w:pPr>
            <w:r>
              <w:t>独生子女家庭对发放工作的满意度</w:t>
            </w:r>
          </w:p>
        </w:tc>
        <w:tc>
          <w:tcPr>
            <w:tcW w:w="2268" w:type="dxa"/>
            <w:vAlign w:val="center"/>
          </w:tcPr>
          <w:p>
            <w:pPr>
              <w:pStyle w:val="12"/>
            </w:pPr>
            <w:r>
              <w:t>≥90 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13010924P00000110275K</w:t>
            </w:r>
          </w:p>
        </w:tc>
        <w:tc>
          <w:tcPr>
            <w:tcW w:w="2835" w:type="dxa"/>
            <w:vAlign w:val="center"/>
          </w:tcPr>
          <w:p>
            <w:pPr>
              <w:pStyle w:val="10"/>
            </w:pPr>
            <w:r>
              <w:t>项目名称</w:t>
            </w:r>
          </w:p>
        </w:tc>
        <w:tc>
          <w:tcPr>
            <w:tcW w:w="6094"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22.90</w:t>
            </w:r>
          </w:p>
        </w:tc>
        <w:tc>
          <w:tcPr>
            <w:tcW w:w="2835" w:type="dxa"/>
            <w:vAlign w:val="center"/>
          </w:tcPr>
          <w:p>
            <w:pPr>
              <w:pStyle w:val="10"/>
            </w:pPr>
            <w:r>
              <w:t>其中：财政    资金</w:t>
            </w:r>
          </w:p>
        </w:tc>
        <w:tc>
          <w:tcPr>
            <w:tcW w:w="2551" w:type="dxa"/>
            <w:vAlign w:val="center"/>
          </w:tcPr>
          <w:p>
            <w:pPr>
              <w:pStyle w:val="12"/>
            </w:pPr>
            <w:r>
              <w:t>22.90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保障经费及时足额上缴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1.保障经费及时足额上缴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覆盖率达到工会要求</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5386" w:type="dxa"/>
            <w:vAlign w:val="center"/>
          </w:tcPr>
          <w:p>
            <w:pPr>
              <w:pStyle w:val="12"/>
            </w:pPr>
            <w:r>
              <w:t>按照工会安排时间进度上缴工会费</w:t>
            </w:r>
          </w:p>
        </w:tc>
        <w:tc>
          <w:tcPr>
            <w:tcW w:w="2268" w:type="dxa"/>
            <w:vAlign w:val="center"/>
          </w:tcPr>
          <w:p>
            <w:pPr>
              <w:pStyle w:val="12"/>
            </w:pPr>
            <w:r>
              <w:t>每年6月、12月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5386" w:type="dxa"/>
            <w:vAlign w:val="center"/>
          </w:tcPr>
          <w:p>
            <w:pPr>
              <w:pStyle w:val="12"/>
            </w:pPr>
            <w:r>
              <w:t>工会缴费标准</w:t>
            </w:r>
          </w:p>
        </w:tc>
        <w:tc>
          <w:tcPr>
            <w:tcW w:w="2268" w:type="dxa"/>
            <w:vAlign w:val="center"/>
          </w:tcPr>
          <w:p>
            <w:pPr>
              <w:pStyle w:val="12"/>
            </w:pPr>
            <w:r>
              <w:t>按实际执行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13010924P00000110278E</w:t>
            </w:r>
          </w:p>
        </w:tc>
        <w:tc>
          <w:tcPr>
            <w:tcW w:w="2835" w:type="dxa"/>
            <w:vAlign w:val="center"/>
          </w:tcPr>
          <w:p>
            <w:pPr>
              <w:pStyle w:val="10"/>
            </w:pPr>
            <w:r>
              <w:t>项目名称</w:t>
            </w:r>
          </w:p>
        </w:tc>
        <w:tc>
          <w:tcPr>
            <w:tcW w:w="6094"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w:t>
            </w:r>
          </w:p>
        </w:tc>
        <w:tc>
          <w:tcPr>
            <w:tcW w:w="2835" w:type="dxa"/>
            <w:vAlign w:val="center"/>
          </w:tcPr>
          <w:p>
            <w:pPr>
              <w:pStyle w:val="10"/>
            </w:pPr>
            <w:r>
              <w:t>其中：财政    资金</w:t>
            </w:r>
          </w:p>
        </w:tc>
        <w:tc>
          <w:tcPr>
            <w:tcW w:w="2551" w:type="dxa"/>
            <w:vAlign w:val="center"/>
          </w:tcPr>
          <w:p>
            <w:pPr>
              <w:pStyle w:val="12"/>
            </w:pPr>
            <w:r>
              <w:t>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按照相关政策要发放原经贸系统关闭企业下放回乡的合同工、副业工涉军人员生活补贴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1.按照相关政策要发放原经贸系统关闭企业下放回乡的合同工、副业工涉军人员生活补贴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拨付生活补贴人数</w:t>
            </w:r>
          </w:p>
        </w:tc>
        <w:tc>
          <w:tcPr>
            <w:tcW w:w="2268" w:type="dxa"/>
            <w:vAlign w:val="center"/>
          </w:tcPr>
          <w:p>
            <w:pPr>
              <w:pStyle w:val="12"/>
            </w:pPr>
            <w:r>
              <w:t>≥12人</w:t>
            </w:r>
          </w:p>
        </w:tc>
        <w:tc>
          <w:tcPr>
            <w:tcW w:w="1276" w:type="dxa"/>
            <w:vAlign w:val="center"/>
          </w:tcPr>
          <w:p>
            <w:pPr>
              <w:pStyle w:val="12"/>
            </w:pPr>
            <w:r>
              <w:t>人员统计表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生活补贴足额发放</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按照时间安排发放</w:t>
            </w:r>
          </w:p>
        </w:tc>
        <w:tc>
          <w:tcPr>
            <w:tcW w:w="2268" w:type="dxa"/>
            <w:vAlign w:val="center"/>
          </w:tcPr>
          <w:p>
            <w:pPr>
              <w:pStyle w:val="12"/>
            </w:pPr>
            <w:r>
              <w:t>每季度最后一个月月初发放本季度补贴</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生活补贴标准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拨付工作在全镇形成的重要影响得到群众认可</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享受补贴人员对发放工作的满意度</w:t>
            </w:r>
          </w:p>
        </w:tc>
        <w:tc>
          <w:tcPr>
            <w:tcW w:w="2268" w:type="dxa"/>
            <w:vAlign w:val="center"/>
          </w:tcPr>
          <w:p>
            <w:pPr>
              <w:pStyle w:val="12"/>
            </w:pPr>
            <w:r>
              <w:t>≥90%</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13010924P000001102740</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保障工会经费及时足额上缴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覆盖率达到工会要求</w:t>
            </w:r>
          </w:p>
        </w:tc>
        <w:tc>
          <w:tcPr>
            <w:tcW w:w="2268" w:type="dxa"/>
            <w:vAlign w:val="center"/>
          </w:tcPr>
          <w:p>
            <w:pPr>
              <w:pStyle w:val="12"/>
            </w:pPr>
            <w:r>
              <w:t>≥90 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 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5386" w:type="dxa"/>
            <w:vAlign w:val="center"/>
          </w:tcPr>
          <w:p>
            <w:pPr>
              <w:pStyle w:val="12"/>
            </w:pPr>
            <w:r>
              <w:t>按照工会安排时间进度上缴工会费</w:t>
            </w:r>
          </w:p>
        </w:tc>
        <w:tc>
          <w:tcPr>
            <w:tcW w:w="2268" w:type="dxa"/>
            <w:vAlign w:val="center"/>
          </w:tcPr>
          <w:p>
            <w:pPr>
              <w:pStyle w:val="12"/>
            </w:pPr>
            <w:r>
              <w:t>≥90 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工会费缴费标准</w:t>
            </w:r>
          </w:p>
        </w:tc>
        <w:tc>
          <w:tcPr>
            <w:tcW w:w="5386" w:type="dxa"/>
            <w:vAlign w:val="center"/>
          </w:tcPr>
          <w:p>
            <w:pPr>
              <w:pStyle w:val="12"/>
            </w:pPr>
            <w:r>
              <w:t>工会费缴费标准</w:t>
            </w:r>
          </w:p>
        </w:tc>
        <w:tc>
          <w:tcPr>
            <w:tcW w:w="2268" w:type="dxa"/>
            <w:vAlign w:val="center"/>
          </w:tcPr>
          <w:p>
            <w:pPr>
              <w:pStyle w:val="12"/>
            </w:pPr>
            <w:r>
              <w:t>按实际执行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 百分比</w:t>
            </w:r>
          </w:p>
        </w:tc>
        <w:tc>
          <w:tcPr>
            <w:tcW w:w="1276" w:type="dxa"/>
            <w:vAlign w:val="center"/>
          </w:tcPr>
          <w:p>
            <w:pPr>
              <w:pStyle w:val="12"/>
            </w:pPr>
            <w:r>
              <w:t xml:space="preserve">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 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9、综合业务运转保障经费绩效目标表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13010924P000001102767</w:t>
            </w:r>
          </w:p>
        </w:tc>
        <w:tc>
          <w:tcPr>
            <w:tcW w:w="2835" w:type="dxa"/>
            <w:vAlign w:val="center"/>
          </w:tcPr>
          <w:p>
            <w:pPr>
              <w:pStyle w:val="10"/>
            </w:pPr>
            <w:r>
              <w:t>项目名称</w:t>
            </w:r>
          </w:p>
        </w:tc>
        <w:tc>
          <w:tcPr>
            <w:tcW w:w="6094" w:type="dxa"/>
            <w:gridSpan w:val="3"/>
            <w:vAlign w:val="center"/>
          </w:tcPr>
          <w:p>
            <w:pPr>
              <w:pStyle w:val="12"/>
            </w:pPr>
            <w:r>
              <w:t>综合业务运转保障经费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197.66</w:t>
            </w:r>
          </w:p>
        </w:tc>
        <w:tc>
          <w:tcPr>
            <w:tcW w:w="2835" w:type="dxa"/>
            <w:vAlign w:val="center"/>
          </w:tcPr>
          <w:p>
            <w:pPr>
              <w:pStyle w:val="10"/>
            </w:pPr>
            <w:r>
              <w:t>其中：财政    资金</w:t>
            </w:r>
          </w:p>
        </w:tc>
        <w:tc>
          <w:tcPr>
            <w:tcW w:w="2551" w:type="dxa"/>
            <w:vAlign w:val="center"/>
          </w:tcPr>
          <w:p>
            <w:pPr>
              <w:pStyle w:val="12"/>
            </w:pPr>
            <w:r>
              <w:t>197.66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统筹南董镇机关运转、人居环境整治、大气污染防治、环保综合治理、土地城建、信访、人大、武装、安全生产、食品安全、社会综合治理等工作经费支出，保障各项工作正常开展，提升政府各科室部门办公效率及服务水平，提升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经费保障率</w:t>
            </w:r>
          </w:p>
        </w:tc>
        <w:tc>
          <w:tcPr>
            <w:tcW w:w="5386" w:type="dxa"/>
            <w:vAlign w:val="center"/>
          </w:tcPr>
          <w:p>
            <w:pPr>
              <w:pStyle w:val="12"/>
            </w:pPr>
            <w:r>
              <w:t>为机关运转、人居环境整治、大气污染防治、环保综合治理、土地城建、信访、人大、武装、安全生产、食品安全、社会综合治理等工作顺利开展提供足额资金</w:t>
            </w:r>
          </w:p>
        </w:tc>
        <w:tc>
          <w:tcPr>
            <w:tcW w:w="2268" w:type="dxa"/>
            <w:vAlign w:val="center"/>
          </w:tcPr>
          <w:p>
            <w:pPr>
              <w:pStyle w:val="12"/>
            </w:pPr>
            <w:r>
              <w:t>≤197.66万</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按时完成上级安排的各项工作</w:t>
            </w:r>
          </w:p>
        </w:tc>
        <w:tc>
          <w:tcPr>
            <w:tcW w:w="2268" w:type="dxa"/>
            <w:vAlign w:val="center"/>
          </w:tcPr>
          <w:p>
            <w:pPr>
              <w:pStyle w:val="12"/>
            </w:pPr>
            <w:r>
              <w:t>及时</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石家庄市藁城区南董镇人民政府本级上年末固定资产金额为1582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4</w:t>
      </w:r>
      <w:r>
        <w:rPr>
          <w:rFonts w:hint="eastAsia" w:eastAsia="方正仿宋_GBK" w:cs="Times New Roman"/>
          <w:b w:val="0"/>
          <w:color w:val="000000"/>
          <w:sz w:val="28"/>
          <w:lang w:val="en-US" w:eastAsia="zh-CN"/>
        </w:rPr>
        <w:t>2</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810001石家庄市藁城区南董镇人民政府本级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ind w:firstLine="0" w:firstLineChars="0"/>
            </w:pPr>
            <w:r>
              <w:t>1582</w:t>
            </w:r>
            <w:r>
              <w:rPr>
                <w:rFonts w:hint="eastAsia"/>
                <w:lang w:val="en-US" w:eastAsia="zh-CN"/>
              </w:rPr>
              <w:t>.</w:t>
            </w:r>
            <w:r>
              <w:t>4</w:t>
            </w: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15633.75</w:t>
            </w:r>
          </w:p>
        </w:tc>
        <w:tc>
          <w:tcPr>
            <w:tcW w:w="2835" w:type="dxa"/>
            <w:vAlign w:val="center"/>
          </w:tcPr>
          <w:p>
            <w:pPr>
              <w:pStyle w:val="11"/>
              <w:ind w:firstLine="0" w:firstLineChars="0"/>
            </w:pPr>
            <w:r>
              <w:t>1313</w:t>
            </w:r>
            <w:r>
              <w:rPr>
                <w:rFonts w:hint="eastAsia"/>
                <w:lang w:val="en-US" w:eastAsia="zh-CN"/>
              </w:rPr>
              <w:t>.</w:t>
            </w:r>
            <w:r>
              <w:t>2</w:t>
            </w: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650</w:t>
            </w:r>
          </w:p>
        </w:tc>
        <w:tc>
          <w:tcPr>
            <w:tcW w:w="2835" w:type="dxa"/>
            <w:vAlign w:val="center"/>
          </w:tcPr>
          <w:p>
            <w:pPr>
              <w:pStyle w:val="11"/>
              <w:ind w:firstLine="0" w:firstLineChars="0"/>
            </w:pPr>
            <w:r>
              <w:t>18</w:t>
            </w:r>
            <w:r>
              <w:rPr>
                <w:rFonts w:hint="eastAsia"/>
                <w:lang w:val="en-US" w:eastAsia="zh-CN"/>
              </w:rPr>
              <w:t>.</w:t>
            </w:r>
            <w:r>
              <w:t>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ind w:firstLine="0" w:firstLineChars="0"/>
            </w:pPr>
            <w:r>
              <w:t>215</w:t>
            </w:r>
            <w:r>
              <w:rPr>
                <w:rFonts w:hint="eastAsia"/>
                <w:lang w:val="en-US" w:eastAsia="zh-CN"/>
              </w:rPr>
              <w:t>.</w:t>
            </w:r>
            <w:r>
              <w:t>0</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515</w:t>
            </w:r>
          </w:p>
        </w:tc>
        <w:tc>
          <w:tcPr>
            <w:tcW w:w="2835" w:type="dxa"/>
            <w:vAlign w:val="center"/>
          </w:tcPr>
          <w:p>
            <w:pPr>
              <w:pStyle w:val="11"/>
              <w:rPr>
                <w:rFonts w:hint="default" w:eastAsia="方正书宋_GBK"/>
                <w:lang w:val="en-US" w:eastAsia="zh-CN"/>
              </w:rPr>
            </w:pPr>
            <w:r>
              <w:rPr>
                <w:rFonts w:hint="eastAsia"/>
                <w:lang w:val="en-US" w:eastAsia="zh-CN"/>
              </w:rPr>
              <w:t>54.08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dhYzIyNzNhZjUwNWVhZGQxMzQxYTM1ZDQwYmVjNjgifQ=="/>
  </w:docVars>
  <w:rsids>
    <w:rsidRoot w:val="00000000"/>
    <w:rsid w:val="31EE66D0"/>
    <w:rsid w:val="6C4B3D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2024-03-01T09:41:58Z</dcterms:created>
  <dcterms:modified xsi:type="dcterms:W3CDTF">2024-03-01T01:41:58Z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2024-03-01T09:41:54Z</dcterms:created>
  <dcterms:modified xsi:type="dcterms:W3CDTF">2024-03-01T01:41:54Z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2024-03-01T09:41:59Z</dcterms:created>
  <dcterms:modified xsi:type="dcterms:W3CDTF">2024-03-01T01:41:59Z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2024-03-01T09:41:13Z</dcterms:created>
  <dcterms:modified xsi:type="dcterms:W3CDTF">2024-03-01T01:41:12Z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2024-03-01T09:41:54Z</dcterms:created>
  <dcterms:modified xsi:type="dcterms:W3CDTF">2024-03-01T01:41:54Z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2024-03-01T09:41:06Z</dcterms:created>
  <dcterms:modified xsi:type="dcterms:W3CDTF">2024-03-01T01:41:06Z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Props1.xml><?xml version="1.0" encoding="utf-8"?>
<ds:datastoreItem xmlns:ds="http://schemas.openxmlformats.org/officeDocument/2006/customXml" ds:itemID="{b2795cf1-c881-4edd-b748-b8c7c7b507a4}">
  <ds:schemaRefs/>
</ds:datastoreItem>
</file>

<file path=customXml/itemProps10.xml><?xml version="1.0" encoding="utf-8"?>
<ds:datastoreItem xmlns:ds="http://schemas.openxmlformats.org/officeDocument/2006/customXml" ds:itemID="{9fcca88b-1ff8-4158-a759-6ebf68a22c97}">
  <ds:schemaRefs/>
</ds:datastoreItem>
</file>

<file path=customXml/itemProps11.xml><?xml version="1.0" encoding="utf-8"?>
<ds:datastoreItem xmlns:ds="http://schemas.openxmlformats.org/officeDocument/2006/customXml" ds:itemID="{3cc926b6-c41d-4ab6-8e40-b59a5509e494}">
  <ds:schemaRefs/>
</ds:datastoreItem>
</file>

<file path=customXml/itemProps12.xml><?xml version="1.0" encoding="utf-8"?>
<ds:datastoreItem xmlns:ds="http://schemas.openxmlformats.org/officeDocument/2006/customXml" ds:itemID="{df04d3b3-37eb-4889-bc38-28f2672ecfdf}">
  <ds:schemaRefs/>
</ds:datastoreItem>
</file>

<file path=customXml/itemProps13.xml><?xml version="1.0" encoding="utf-8"?>
<ds:datastoreItem xmlns:ds="http://schemas.openxmlformats.org/officeDocument/2006/customXml" ds:itemID="{97b6d373-b5de-4358-be74-019416e36e2b}">
  <ds:schemaRefs/>
</ds:datastoreItem>
</file>

<file path=customXml/itemProps14.xml><?xml version="1.0" encoding="utf-8"?>
<ds:datastoreItem xmlns:ds="http://schemas.openxmlformats.org/officeDocument/2006/customXml" ds:itemID="{fd7a9754-b4d9-49ec-93b3-b77a34d22cd8}">
  <ds:schemaRefs/>
</ds:datastoreItem>
</file>

<file path=customXml/itemProps15.xml><?xml version="1.0" encoding="utf-8"?>
<ds:datastoreItem xmlns:ds="http://schemas.openxmlformats.org/officeDocument/2006/customXml" ds:itemID="{17578339-5c88-41c0-b767-1b8e634fd2cc}">
  <ds:schemaRefs/>
</ds:datastoreItem>
</file>

<file path=customXml/itemProps16.xml><?xml version="1.0" encoding="utf-8"?>
<ds:datastoreItem xmlns:ds="http://schemas.openxmlformats.org/officeDocument/2006/customXml" ds:itemID="{47fa0e53-ea03-49c6-977f-bb8e5b0a862f}">
  <ds:schemaRefs/>
</ds:datastoreItem>
</file>

<file path=customXml/itemProps17.xml><?xml version="1.0" encoding="utf-8"?>
<ds:datastoreItem xmlns:ds="http://schemas.openxmlformats.org/officeDocument/2006/customXml" ds:itemID="{98ed2348-300b-4c90-b92d-5e301fb200fa}">
  <ds:schemaRefs/>
</ds:datastoreItem>
</file>

<file path=customXml/itemProps18.xml><?xml version="1.0" encoding="utf-8"?>
<ds:datastoreItem xmlns:ds="http://schemas.openxmlformats.org/officeDocument/2006/customXml" ds:itemID="{71d094da-ae64-467b-83a8-fcc85f630145}">
  <ds:schemaRefs/>
</ds:datastoreItem>
</file>

<file path=customXml/itemProps19.xml><?xml version="1.0" encoding="utf-8"?>
<ds:datastoreItem xmlns:ds="http://schemas.openxmlformats.org/officeDocument/2006/customXml" ds:itemID="{c943c241-6594-427e-8326-c511a3b56e54}">
  <ds:schemaRefs/>
</ds:datastoreItem>
</file>

<file path=customXml/itemProps2.xml><?xml version="1.0" encoding="utf-8"?>
<ds:datastoreItem xmlns:ds="http://schemas.openxmlformats.org/officeDocument/2006/customXml" ds:itemID="{fc1be1ab-71d5-4e3d-95c6-b908c8f7c729}">
  <ds:schemaRefs/>
</ds:datastoreItem>
</file>

<file path=customXml/itemProps20.xml><?xml version="1.0" encoding="utf-8"?>
<ds:datastoreItem xmlns:ds="http://schemas.openxmlformats.org/officeDocument/2006/customXml" ds:itemID="{32ba5665-21d6-4e9f-a3f6-8798f185d62f}">
  <ds:schemaRefs/>
</ds:datastoreItem>
</file>

<file path=customXml/itemProps21.xml><?xml version="1.0" encoding="utf-8"?>
<ds:datastoreItem xmlns:ds="http://schemas.openxmlformats.org/officeDocument/2006/customXml" ds:itemID="{d8b695fb-352d-4c80-bc7a-23e72eabd421}">
  <ds:schemaRefs/>
</ds:datastoreItem>
</file>

<file path=customXml/itemProps22.xml><?xml version="1.0" encoding="utf-8"?>
<ds:datastoreItem xmlns:ds="http://schemas.openxmlformats.org/officeDocument/2006/customXml" ds:itemID="{bb5284b4-224b-4bd2-82f4-1e8cf7adafa9}">
  <ds:schemaRefs/>
</ds:datastoreItem>
</file>

<file path=customXml/itemProps23.xml><?xml version="1.0" encoding="utf-8"?>
<ds:datastoreItem xmlns:ds="http://schemas.openxmlformats.org/officeDocument/2006/customXml" ds:itemID="{92dd2216-5d9c-4419-a801-8ad0faa746da}">
  <ds:schemaRefs/>
</ds:datastoreItem>
</file>

<file path=customXml/itemProps24.xml><?xml version="1.0" encoding="utf-8"?>
<ds:datastoreItem xmlns:ds="http://schemas.openxmlformats.org/officeDocument/2006/customXml" ds:itemID="{8afda5cd-e937-4187-9ae2-18004282af08}">
  <ds:schemaRefs/>
</ds:datastoreItem>
</file>

<file path=customXml/itemProps3.xml><?xml version="1.0" encoding="utf-8"?>
<ds:datastoreItem xmlns:ds="http://schemas.openxmlformats.org/officeDocument/2006/customXml" ds:itemID="{c5d20e66-e135-4757-9282-90d68fcceda4}">
  <ds:schemaRefs/>
</ds:datastoreItem>
</file>

<file path=customXml/itemProps4.xml><?xml version="1.0" encoding="utf-8"?>
<ds:datastoreItem xmlns:ds="http://schemas.openxmlformats.org/officeDocument/2006/customXml" ds:itemID="{8db5c4e0-116d-4fcb-b7f9-43a9e87618aa}">
  <ds:schemaRefs/>
</ds:datastoreItem>
</file>

<file path=customXml/itemProps5.xml><?xml version="1.0" encoding="utf-8"?>
<ds:datastoreItem xmlns:ds="http://schemas.openxmlformats.org/officeDocument/2006/customXml" ds:itemID="{47d83107-9284-4426-b266-70ed5a8e22f2}">
  <ds:schemaRefs/>
</ds:datastoreItem>
</file>

<file path=customXml/itemProps6.xml><?xml version="1.0" encoding="utf-8"?>
<ds:datastoreItem xmlns:ds="http://schemas.openxmlformats.org/officeDocument/2006/customXml" ds:itemID="{a15353b9-2e8f-48d3-b122-1af41ca4c708}">
  <ds:schemaRefs/>
</ds:datastoreItem>
</file>

<file path=customXml/itemProps7.xml><?xml version="1.0" encoding="utf-8"?>
<ds:datastoreItem xmlns:ds="http://schemas.openxmlformats.org/officeDocument/2006/customXml" ds:itemID="{a0e08fd5-0510-4021-8139-30d2751a9be0}">
  <ds:schemaRefs/>
</ds:datastoreItem>
</file>

<file path=customXml/itemProps8.xml><?xml version="1.0" encoding="utf-8"?>
<ds:datastoreItem xmlns:ds="http://schemas.openxmlformats.org/officeDocument/2006/customXml" ds:itemID="{e1648cd7-c2ec-4208-972c-866643a643b2}">
  <ds:schemaRefs/>
</ds:datastoreItem>
</file>

<file path=customXml/itemProps9.xml><?xml version="1.0" encoding="utf-8"?>
<ds:datastoreItem xmlns:ds="http://schemas.openxmlformats.org/officeDocument/2006/customXml" ds:itemID="{73da8dab-7653-45da-8ec5-53e836d860f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2024-03-01T09:41:00Z</dcterms:created>
  <dc:creator>光影精灵</dc:creator>
  <cp:lastModifiedBy>韩小木</cp:lastModifiedBy>
  <dcterms:modified xsi:type="dcterms:W3CDTF">2024-03-06T08:29:06Z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1F2C6BD49DAF4608A3107F887EFFF4FC_12</vt:lpwstr>
  </property>
</Properties>
</file>