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一、石家庄市藁城区梅花镇人民政府本级收支预算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一、石家庄市藁城区梅花镇人民政府本级收支预算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1649.25</w:t>
            </w:r>
          </w:p>
        </w:tc>
        <w:tc>
          <w:tcPr>
            <w:tcW w:w="4535" w:type="dxa"/>
            <w:vAlign w:val="center"/>
          </w:tcPr>
          <w:p>
            <w:pPr>
              <w:pStyle w:val="12"/>
            </w:pPr>
            <w:r>
              <w:t>一、一般公共服务支出</w:t>
            </w:r>
          </w:p>
        </w:tc>
        <w:tc>
          <w:tcPr>
            <w:tcW w:w="2126" w:type="dxa"/>
            <w:vAlign w:val="center"/>
          </w:tcPr>
          <w:p>
            <w:pPr>
              <w:pStyle w:val="11"/>
            </w:pPr>
            <w:r>
              <w:t>1474.70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1649.25</w:t>
            </w:r>
          </w:p>
        </w:tc>
        <w:tc>
          <w:tcPr>
            <w:tcW w:w="4535" w:type="dxa"/>
            <w:vAlign w:val="center"/>
          </w:tcPr>
          <w:p>
            <w:pPr>
              <w:pStyle w:val="14"/>
            </w:pPr>
            <w:r>
              <w:t>本年支出合计</w:t>
            </w:r>
          </w:p>
        </w:tc>
        <w:tc>
          <w:tcPr>
            <w:tcW w:w="2126" w:type="dxa"/>
            <w:vAlign w:val="center"/>
          </w:tcPr>
          <w:p>
            <w:pPr>
              <w:pStyle w:val="15"/>
            </w:pPr>
            <w:r>
              <w:t>1649.25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1649.25</w:t>
            </w:r>
          </w:p>
        </w:tc>
        <w:tc>
          <w:tcPr>
            <w:tcW w:w="4535" w:type="dxa"/>
            <w:vAlign w:val="center"/>
          </w:tcPr>
          <w:p>
            <w:pPr>
              <w:pStyle w:val="14"/>
            </w:pPr>
            <w:r>
              <w:t>支出总计</w:t>
            </w:r>
          </w:p>
        </w:tc>
        <w:tc>
          <w:tcPr>
            <w:tcW w:w="2126" w:type="dxa"/>
            <w:vAlign w:val="center"/>
          </w:tcPr>
          <w:p>
            <w:pPr>
              <w:pStyle w:val="15"/>
            </w:pPr>
            <w:r>
              <w:t>1649.25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1649.25</w:t>
            </w:r>
          </w:p>
        </w:tc>
        <w:tc>
          <w:tcPr>
            <w:tcW w:w="1134" w:type="dxa"/>
            <w:vAlign w:val="center"/>
          </w:tcPr>
          <w:p>
            <w:pPr>
              <w:pStyle w:val="15"/>
            </w:pPr>
            <w:r>
              <w:t>1649.25</w:t>
            </w:r>
          </w:p>
        </w:tc>
        <w:tc>
          <w:tcPr>
            <w:tcW w:w="1134" w:type="dxa"/>
            <w:vAlign w:val="center"/>
          </w:tcPr>
          <w:p>
            <w:pPr>
              <w:pStyle w:val="15"/>
            </w:pPr>
            <w:r>
              <w:t>1649.25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1474.70</w:t>
            </w:r>
          </w:p>
        </w:tc>
        <w:tc>
          <w:tcPr>
            <w:tcW w:w="1134" w:type="dxa"/>
            <w:vAlign w:val="center"/>
          </w:tcPr>
          <w:p>
            <w:pPr>
              <w:pStyle w:val="11"/>
            </w:pPr>
            <w:r>
              <w:t>1474.70</w:t>
            </w:r>
          </w:p>
        </w:tc>
        <w:tc>
          <w:tcPr>
            <w:tcW w:w="1134" w:type="dxa"/>
            <w:vAlign w:val="center"/>
          </w:tcPr>
          <w:p>
            <w:pPr>
              <w:pStyle w:val="11"/>
            </w:pPr>
            <w:r>
              <w:t>1474.70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1474.70</w:t>
            </w:r>
          </w:p>
        </w:tc>
        <w:tc>
          <w:tcPr>
            <w:tcW w:w="1134" w:type="dxa"/>
            <w:vAlign w:val="center"/>
          </w:tcPr>
          <w:p>
            <w:pPr>
              <w:pStyle w:val="11"/>
            </w:pPr>
            <w:r>
              <w:t>1474.70</w:t>
            </w:r>
          </w:p>
        </w:tc>
        <w:tc>
          <w:tcPr>
            <w:tcW w:w="1134" w:type="dxa"/>
            <w:vAlign w:val="center"/>
          </w:tcPr>
          <w:p>
            <w:pPr>
              <w:pStyle w:val="11"/>
            </w:pPr>
            <w:r>
              <w:t>1474.70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1301.26</w:t>
            </w:r>
          </w:p>
        </w:tc>
        <w:tc>
          <w:tcPr>
            <w:tcW w:w="1134" w:type="dxa"/>
            <w:vAlign w:val="center"/>
          </w:tcPr>
          <w:p>
            <w:pPr>
              <w:pStyle w:val="11"/>
            </w:pPr>
            <w:r>
              <w:t>1301.26</w:t>
            </w:r>
          </w:p>
        </w:tc>
        <w:tc>
          <w:tcPr>
            <w:tcW w:w="1134" w:type="dxa"/>
            <w:vAlign w:val="center"/>
          </w:tcPr>
          <w:p>
            <w:pPr>
              <w:pStyle w:val="11"/>
            </w:pPr>
            <w:r>
              <w:t>1301.26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173.44</w:t>
            </w:r>
          </w:p>
        </w:tc>
        <w:tc>
          <w:tcPr>
            <w:tcW w:w="1134" w:type="dxa"/>
            <w:vAlign w:val="center"/>
          </w:tcPr>
          <w:p>
            <w:pPr>
              <w:pStyle w:val="11"/>
            </w:pPr>
            <w:r>
              <w:t>173.44</w:t>
            </w:r>
          </w:p>
        </w:tc>
        <w:tc>
          <w:tcPr>
            <w:tcW w:w="1134" w:type="dxa"/>
            <w:vAlign w:val="center"/>
          </w:tcPr>
          <w:p>
            <w:pPr>
              <w:pStyle w:val="11"/>
            </w:pPr>
            <w:r>
              <w:t>173.44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17.21</w:t>
            </w:r>
          </w:p>
        </w:tc>
        <w:tc>
          <w:tcPr>
            <w:tcW w:w="1134" w:type="dxa"/>
            <w:vAlign w:val="center"/>
          </w:tcPr>
          <w:p>
            <w:pPr>
              <w:pStyle w:val="11"/>
            </w:pPr>
            <w:r>
              <w:t>17.21</w:t>
            </w:r>
          </w:p>
        </w:tc>
        <w:tc>
          <w:tcPr>
            <w:tcW w:w="1134" w:type="dxa"/>
            <w:vAlign w:val="center"/>
          </w:tcPr>
          <w:p>
            <w:pPr>
              <w:pStyle w:val="11"/>
            </w:pPr>
            <w:r>
              <w:t>17.21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17.21</w:t>
            </w:r>
          </w:p>
        </w:tc>
        <w:tc>
          <w:tcPr>
            <w:tcW w:w="1134" w:type="dxa"/>
            <w:vAlign w:val="center"/>
          </w:tcPr>
          <w:p>
            <w:pPr>
              <w:pStyle w:val="11"/>
            </w:pPr>
            <w:r>
              <w:t>17.21</w:t>
            </w:r>
          </w:p>
        </w:tc>
        <w:tc>
          <w:tcPr>
            <w:tcW w:w="1134" w:type="dxa"/>
            <w:vAlign w:val="center"/>
          </w:tcPr>
          <w:p>
            <w:pPr>
              <w:pStyle w:val="11"/>
            </w:pPr>
            <w:r>
              <w:t>17.21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17.21</w:t>
            </w:r>
          </w:p>
        </w:tc>
        <w:tc>
          <w:tcPr>
            <w:tcW w:w="1134" w:type="dxa"/>
            <w:vAlign w:val="center"/>
          </w:tcPr>
          <w:p>
            <w:pPr>
              <w:pStyle w:val="11"/>
            </w:pPr>
            <w:r>
              <w:t>17.21</w:t>
            </w:r>
          </w:p>
        </w:tc>
        <w:tc>
          <w:tcPr>
            <w:tcW w:w="1134" w:type="dxa"/>
            <w:vAlign w:val="center"/>
          </w:tcPr>
          <w:p>
            <w:pPr>
              <w:pStyle w:val="11"/>
            </w:pPr>
            <w:r>
              <w:t>17.21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114.45</w:t>
            </w:r>
          </w:p>
        </w:tc>
        <w:tc>
          <w:tcPr>
            <w:tcW w:w="1134" w:type="dxa"/>
            <w:vAlign w:val="center"/>
          </w:tcPr>
          <w:p>
            <w:pPr>
              <w:pStyle w:val="11"/>
            </w:pPr>
            <w:r>
              <w:t>114.45</w:t>
            </w:r>
          </w:p>
        </w:tc>
        <w:tc>
          <w:tcPr>
            <w:tcW w:w="1134" w:type="dxa"/>
            <w:vAlign w:val="center"/>
          </w:tcPr>
          <w:p>
            <w:pPr>
              <w:pStyle w:val="11"/>
            </w:pPr>
            <w:r>
              <w:t>114.45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14.45</w:t>
            </w:r>
          </w:p>
        </w:tc>
        <w:tc>
          <w:tcPr>
            <w:tcW w:w="1134" w:type="dxa"/>
            <w:vAlign w:val="center"/>
          </w:tcPr>
          <w:p>
            <w:pPr>
              <w:pStyle w:val="11"/>
            </w:pPr>
            <w:r>
              <w:t>14.45</w:t>
            </w:r>
          </w:p>
        </w:tc>
        <w:tc>
          <w:tcPr>
            <w:tcW w:w="1134" w:type="dxa"/>
            <w:vAlign w:val="center"/>
          </w:tcPr>
          <w:p>
            <w:pPr>
              <w:pStyle w:val="11"/>
            </w:pPr>
            <w:r>
              <w:t>14.45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14.45</w:t>
            </w:r>
          </w:p>
        </w:tc>
        <w:tc>
          <w:tcPr>
            <w:tcW w:w="1134" w:type="dxa"/>
            <w:vAlign w:val="center"/>
          </w:tcPr>
          <w:p>
            <w:pPr>
              <w:pStyle w:val="11"/>
            </w:pPr>
            <w:r>
              <w:t>14.45</w:t>
            </w:r>
          </w:p>
        </w:tc>
        <w:tc>
          <w:tcPr>
            <w:tcW w:w="1134" w:type="dxa"/>
            <w:vAlign w:val="center"/>
          </w:tcPr>
          <w:p>
            <w:pPr>
              <w:pStyle w:val="11"/>
            </w:pPr>
            <w:r>
              <w:t>14.45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1649.25</w:t>
            </w:r>
          </w:p>
        </w:tc>
        <w:tc>
          <w:tcPr>
            <w:tcW w:w="1361" w:type="dxa"/>
            <w:vAlign w:val="center"/>
          </w:tcPr>
          <w:p>
            <w:pPr>
              <w:pStyle w:val="15"/>
            </w:pPr>
            <w:r>
              <w:t>1301.26</w:t>
            </w:r>
          </w:p>
        </w:tc>
        <w:tc>
          <w:tcPr>
            <w:tcW w:w="1361" w:type="dxa"/>
            <w:vAlign w:val="center"/>
          </w:tcPr>
          <w:p>
            <w:pPr>
              <w:pStyle w:val="15"/>
            </w:pPr>
            <w:r>
              <w:t>347.99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1474.70</w:t>
            </w:r>
          </w:p>
        </w:tc>
        <w:tc>
          <w:tcPr>
            <w:tcW w:w="1361" w:type="dxa"/>
            <w:vAlign w:val="center"/>
          </w:tcPr>
          <w:p>
            <w:pPr>
              <w:pStyle w:val="11"/>
            </w:pPr>
            <w:r>
              <w:t>1301.26</w:t>
            </w:r>
          </w:p>
        </w:tc>
        <w:tc>
          <w:tcPr>
            <w:tcW w:w="1361" w:type="dxa"/>
            <w:vAlign w:val="center"/>
          </w:tcPr>
          <w:p>
            <w:pPr>
              <w:pStyle w:val="11"/>
            </w:pPr>
            <w:r>
              <w:t>173.44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1474.70</w:t>
            </w:r>
          </w:p>
        </w:tc>
        <w:tc>
          <w:tcPr>
            <w:tcW w:w="1361" w:type="dxa"/>
            <w:vAlign w:val="center"/>
          </w:tcPr>
          <w:p>
            <w:pPr>
              <w:pStyle w:val="11"/>
            </w:pPr>
            <w:r>
              <w:t>1301.26</w:t>
            </w:r>
          </w:p>
        </w:tc>
        <w:tc>
          <w:tcPr>
            <w:tcW w:w="1361" w:type="dxa"/>
            <w:vAlign w:val="center"/>
          </w:tcPr>
          <w:p>
            <w:pPr>
              <w:pStyle w:val="11"/>
            </w:pPr>
            <w:r>
              <w:t>173.44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1301.26</w:t>
            </w:r>
          </w:p>
        </w:tc>
        <w:tc>
          <w:tcPr>
            <w:tcW w:w="1361" w:type="dxa"/>
            <w:vAlign w:val="center"/>
          </w:tcPr>
          <w:p>
            <w:pPr>
              <w:pStyle w:val="11"/>
            </w:pPr>
            <w:r>
              <w:t>1301.26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173.44</w:t>
            </w:r>
          </w:p>
        </w:tc>
        <w:tc>
          <w:tcPr>
            <w:tcW w:w="1361" w:type="dxa"/>
            <w:vAlign w:val="center"/>
          </w:tcPr>
          <w:p>
            <w:pPr>
              <w:pStyle w:val="11"/>
            </w:pPr>
          </w:p>
        </w:tc>
        <w:tc>
          <w:tcPr>
            <w:tcW w:w="1361" w:type="dxa"/>
            <w:vAlign w:val="center"/>
          </w:tcPr>
          <w:p>
            <w:pPr>
              <w:pStyle w:val="11"/>
            </w:pPr>
            <w:r>
              <w:t>173.44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17.21</w:t>
            </w:r>
          </w:p>
        </w:tc>
        <w:tc>
          <w:tcPr>
            <w:tcW w:w="1361" w:type="dxa"/>
            <w:vAlign w:val="center"/>
          </w:tcPr>
          <w:p>
            <w:pPr>
              <w:pStyle w:val="11"/>
            </w:pPr>
          </w:p>
        </w:tc>
        <w:tc>
          <w:tcPr>
            <w:tcW w:w="1361" w:type="dxa"/>
            <w:vAlign w:val="center"/>
          </w:tcPr>
          <w:p>
            <w:pPr>
              <w:pStyle w:val="11"/>
            </w:pPr>
            <w:r>
              <w:t>17.21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17.21</w:t>
            </w:r>
          </w:p>
        </w:tc>
        <w:tc>
          <w:tcPr>
            <w:tcW w:w="1361" w:type="dxa"/>
            <w:vAlign w:val="center"/>
          </w:tcPr>
          <w:p>
            <w:pPr>
              <w:pStyle w:val="11"/>
            </w:pPr>
          </w:p>
        </w:tc>
        <w:tc>
          <w:tcPr>
            <w:tcW w:w="1361" w:type="dxa"/>
            <w:vAlign w:val="center"/>
          </w:tcPr>
          <w:p>
            <w:pPr>
              <w:pStyle w:val="11"/>
            </w:pPr>
            <w:r>
              <w:t>17.21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17.21</w:t>
            </w:r>
          </w:p>
        </w:tc>
        <w:tc>
          <w:tcPr>
            <w:tcW w:w="1361" w:type="dxa"/>
            <w:vAlign w:val="center"/>
          </w:tcPr>
          <w:p>
            <w:pPr>
              <w:pStyle w:val="11"/>
            </w:pPr>
          </w:p>
        </w:tc>
        <w:tc>
          <w:tcPr>
            <w:tcW w:w="1361" w:type="dxa"/>
            <w:vAlign w:val="center"/>
          </w:tcPr>
          <w:p>
            <w:pPr>
              <w:pStyle w:val="11"/>
            </w:pPr>
            <w:r>
              <w:t>17.21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114.45</w:t>
            </w:r>
          </w:p>
        </w:tc>
        <w:tc>
          <w:tcPr>
            <w:tcW w:w="1361" w:type="dxa"/>
            <w:vAlign w:val="center"/>
          </w:tcPr>
          <w:p>
            <w:pPr>
              <w:pStyle w:val="11"/>
            </w:pPr>
          </w:p>
        </w:tc>
        <w:tc>
          <w:tcPr>
            <w:tcW w:w="1361" w:type="dxa"/>
            <w:vAlign w:val="center"/>
          </w:tcPr>
          <w:p>
            <w:pPr>
              <w:pStyle w:val="11"/>
            </w:pPr>
            <w:r>
              <w:t>114.45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14.45</w:t>
            </w:r>
          </w:p>
        </w:tc>
        <w:tc>
          <w:tcPr>
            <w:tcW w:w="1361" w:type="dxa"/>
            <w:vAlign w:val="center"/>
          </w:tcPr>
          <w:p>
            <w:pPr>
              <w:pStyle w:val="11"/>
            </w:pPr>
          </w:p>
        </w:tc>
        <w:tc>
          <w:tcPr>
            <w:tcW w:w="1361" w:type="dxa"/>
            <w:vAlign w:val="center"/>
          </w:tcPr>
          <w:p>
            <w:pPr>
              <w:pStyle w:val="11"/>
            </w:pPr>
            <w:r>
              <w:t>14.45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14.45</w:t>
            </w:r>
          </w:p>
        </w:tc>
        <w:tc>
          <w:tcPr>
            <w:tcW w:w="1361" w:type="dxa"/>
            <w:vAlign w:val="center"/>
          </w:tcPr>
          <w:p>
            <w:pPr>
              <w:pStyle w:val="11"/>
            </w:pPr>
          </w:p>
        </w:tc>
        <w:tc>
          <w:tcPr>
            <w:tcW w:w="1361" w:type="dxa"/>
            <w:vAlign w:val="center"/>
          </w:tcPr>
          <w:p>
            <w:pPr>
              <w:pStyle w:val="11"/>
            </w:pPr>
            <w:r>
              <w:t>14.45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1649.25</w:t>
            </w:r>
          </w:p>
        </w:tc>
        <w:tc>
          <w:tcPr>
            <w:tcW w:w="3402" w:type="dxa"/>
            <w:vAlign w:val="center"/>
          </w:tcPr>
          <w:p>
            <w:pPr>
              <w:pStyle w:val="12"/>
            </w:pPr>
            <w:r>
              <w:t>一、一般公共服务支出</w:t>
            </w:r>
          </w:p>
        </w:tc>
        <w:tc>
          <w:tcPr>
            <w:tcW w:w="1474" w:type="dxa"/>
            <w:vAlign w:val="center"/>
          </w:tcPr>
          <w:p>
            <w:pPr>
              <w:pStyle w:val="11"/>
            </w:pPr>
            <w:r>
              <w:t>1474.70</w:t>
            </w:r>
          </w:p>
        </w:tc>
        <w:tc>
          <w:tcPr>
            <w:tcW w:w="1474" w:type="dxa"/>
            <w:vAlign w:val="center"/>
          </w:tcPr>
          <w:p>
            <w:pPr>
              <w:pStyle w:val="11"/>
            </w:pPr>
            <w:r>
              <w:t>1474.70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17.21</w:t>
            </w:r>
          </w:p>
        </w:tc>
        <w:tc>
          <w:tcPr>
            <w:tcW w:w="1474" w:type="dxa"/>
            <w:vAlign w:val="center"/>
          </w:tcPr>
          <w:p>
            <w:pPr>
              <w:pStyle w:val="11"/>
            </w:pPr>
            <w:r>
              <w:t>17.21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3.89</w:t>
            </w:r>
          </w:p>
        </w:tc>
        <w:tc>
          <w:tcPr>
            <w:tcW w:w="1474" w:type="dxa"/>
            <w:vAlign w:val="center"/>
          </w:tcPr>
          <w:p>
            <w:pPr>
              <w:pStyle w:val="11"/>
            </w:pPr>
            <w:r>
              <w:t>3.89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4.00</w:t>
            </w:r>
          </w:p>
        </w:tc>
        <w:tc>
          <w:tcPr>
            <w:tcW w:w="1474" w:type="dxa"/>
            <w:vAlign w:val="center"/>
          </w:tcPr>
          <w:p>
            <w:pPr>
              <w:pStyle w:val="11"/>
            </w:pPr>
            <w:r>
              <w:t>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35.00</w:t>
            </w:r>
          </w:p>
        </w:tc>
        <w:tc>
          <w:tcPr>
            <w:tcW w:w="1474" w:type="dxa"/>
            <w:vAlign w:val="center"/>
          </w:tcPr>
          <w:p>
            <w:pPr>
              <w:pStyle w:val="11"/>
            </w:pPr>
            <w:r>
              <w:t>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114.45</w:t>
            </w:r>
          </w:p>
        </w:tc>
        <w:tc>
          <w:tcPr>
            <w:tcW w:w="1474" w:type="dxa"/>
            <w:vAlign w:val="center"/>
          </w:tcPr>
          <w:p>
            <w:pPr>
              <w:pStyle w:val="11"/>
            </w:pPr>
            <w:r>
              <w:t>114.45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1649.25</w:t>
            </w:r>
          </w:p>
        </w:tc>
        <w:tc>
          <w:tcPr>
            <w:tcW w:w="3402" w:type="dxa"/>
            <w:vAlign w:val="center"/>
          </w:tcPr>
          <w:p>
            <w:pPr>
              <w:pStyle w:val="14"/>
            </w:pPr>
            <w:r>
              <w:t>本年支出合计</w:t>
            </w:r>
          </w:p>
        </w:tc>
        <w:tc>
          <w:tcPr>
            <w:tcW w:w="1474" w:type="dxa"/>
            <w:vAlign w:val="center"/>
          </w:tcPr>
          <w:p>
            <w:pPr>
              <w:pStyle w:val="15"/>
            </w:pPr>
            <w:r>
              <w:t>1649.25</w:t>
            </w:r>
          </w:p>
        </w:tc>
        <w:tc>
          <w:tcPr>
            <w:tcW w:w="1474" w:type="dxa"/>
            <w:vAlign w:val="center"/>
          </w:tcPr>
          <w:p>
            <w:pPr>
              <w:pStyle w:val="15"/>
            </w:pPr>
            <w:r>
              <w:t>1649.25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1649.25</w:t>
            </w:r>
          </w:p>
        </w:tc>
        <w:tc>
          <w:tcPr>
            <w:tcW w:w="3402" w:type="dxa"/>
            <w:vAlign w:val="center"/>
          </w:tcPr>
          <w:p>
            <w:pPr>
              <w:pStyle w:val="14"/>
            </w:pPr>
            <w:r>
              <w:t>支出总计</w:t>
            </w:r>
          </w:p>
        </w:tc>
        <w:tc>
          <w:tcPr>
            <w:tcW w:w="1474" w:type="dxa"/>
            <w:vAlign w:val="center"/>
          </w:tcPr>
          <w:p>
            <w:pPr>
              <w:pStyle w:val="15"/>
            </w:pPr>
            <w:r>
              <w:t>1649.25</w:t>
            </w:r>
          </w:p>
        </w:tc>
        <w:tc>
          <w:tcPr>
            <w:tcW w:w="1474" w:type="dxa"/>
            <w:vAlign w:val="center"/>
          </w:tcPr>
          <w:p>
            <w:pPr>
              <w:pStyle w:val="15"/>
            </w:pPr>
            <w:r>
              <w:t>1649.25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1649.25</w:t>
            </w:r>
          </w:p>
        </w:tc>
        <w:tc>
          <w:tcPr>
            <w:tcW w:w="2551" w:type="dxa"/>
            <w:vAlign w:val="center"/>
          </w:tcPr>
          <w:p>
            <w:pPr>
              <w:pStyle w:val="15"/>
            </w:pPr>
            <w:r>
              <w:t>1301.26</w:t>
            </w:r>
          </w:p>
        </w:tc>
        <w:tc>
          <w:tcPr>
            <w:tcW w:w="2551" w:type="dxa"/>
            <w:vAlign w:val="center"/>
          </w:tcPr>
          <w:p>
            <w:pPr>
              <w:pStyle w:val="15"/>
            </w:pPr>
            <w:r>
              <w:t>347.99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1474.70</w:t>
            </w:r>
          </w:p>
        </w:tc>
        <w:tc>
          <w:tcPr>
            <w:tcW w:w="2551" w:type="dxa"/>
            <w:vAlign w:val="center"/>
          </w:tcPr>
          <w:p>
            <w:pPr>
              <w:pStyle w:val="11"/>
            </w:pPr>
            <w:r>
              <w:t>1301.26</w:t>
            </w:r>
          </w:p>
        </w:tc>
        <w:tc>
          <w:tcPr>
            <w:tcW w:w="2551" w:type="dxa"/>
            <w:vAlign w:val="center"/>
          </w:tcPr>
          <w:p>
            <w:pPr>
              <w:pStyle w:val="11"/>
            </w:pPr>
            <w:r>
              <w:t>173.44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1474.70</w:t>
            </w:r>
          </w:p>
        </w:tc>
        <w:tc>
          <w:tcPr>
            <w:tcW w:w="2551" w:type="dxa"/>
            <w:vAlign w:val="center"/>
          </w:tcPr>
          <w:p>
            <w:pPr>
              <w:pStyle w:val="11"/>
            </w:pPr>
            <w:r>
              <w:t>1301.26</w:t>
            </w:r>
          </w:p>
        </w:tc>
        <w:tc>
          <w:tcPr>
            <w:tcW w:w="2551" w:type="dxa"/>
            <w:vAlign w:val="center"/>
          </w:tcPr>
          <w:p>
            <w:pPr>
              <w:pStyle w:val="11"/>
            </w:pPr>
            <w:r>
              <w:t>173.44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1301.26</w:t>
            </w:r>
          </w:p>
        </w:tc>
        <w:tc>
          <w:tcPr>
            <w:tcW w:w="2551" w:type="dxa"/>
            <w:vAlign w:val="center"/>
          </w:tcPr>
          <w:p>
            <w:pPr>
              <w:pStyle w:val="11"/>
            </w:pPr>
            <w:r>
              <w:t>1301.26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173.44</w:t>
            </w:r>
          </w:p>
        </w:tc>
        <w:tc>
          <w:tcPr>
            <w:tcW w:w="2551" w:type="dxa"/>
            <w:vAlign w:val="center"/>
          </w:tcPr>
          <w:p>
            <w:pPr>
              <w:pStyle w:val="11"/>
            </w:pPr>
          </w:p>
        </w:tc>
        <w:tc>
          <w:tcPr>
            <w:tcW w:w="2551" w:type="dxa"/>
            <w:vAlign w:val="center"/>
          </w:tcPr>
          <w:p>
            <w:pPr>
              <w:pStyle w:val="11"/>
            </w:pPr>
            <w:r>
              <w:t>173.44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17.21</w:t>
            </w:r>
          </w:p>
        </w:tc>
        <w:tc>
          <w:tcPr>
            <w:tcW w:w="2551" w:type="dxa"/>
            <w:vAlign w:val="center"/>
          </w:tcPr>
          <w:p>
            <w:pPr>
              <w:pStyle w:val="11"/>
            </w:pPr>
          </w:p>
        </w:tc>
        <w:tc>
          <w:tcPr>
            <w:tcW w:w="2551" w:type="dxa"/>
            <w:vAlign w:val="center"/>
          </w:tcPr>
          <w:p>
            <w:pPr>
              <w:pStyle w:val="11"/>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17.21</w:t>
            </w:r>
          </w:p>
        </w:tc>
        <w:tc>
          <w:tcPr>
            <w:tcW w:w="2551" w:type="dxa"/>
            <w:vAlign w:val="center"/>
          </w:tcPr>
          <w:p>
            <w:pPr>
              <w:pStyle w:val="11"/>
            </w:pPr>
          </w:p>
        </w:tc>
        <w:tc>
          <w:tcPr>
            <w:tcW w:w="2551" w:type="dxa"/>
            <w:vAlign w:val="center"/>
          </w:tcPr>
          <w:p>
            <w:pPr>
              <w:pStyle w:val="11"/>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17.21</w:t>
            </w:r>
          </w:p>
        </w:tc>
        <w:tc>
          <w:tcPr>
            <w:tcW w:w="2551" w:type="dxa"/>
            <w:vAlign w:val="center"/>
          </w:tcPr>
          <w:p>
            <w:pPr>
              <w:pStyle w:val="11"/>
            </w:pPr>
          </w:p>
        </w:tc>
        <w:tc>
          <w:tcPr>
            <w:tcW w:w="2551" w:type="dxa"/>
            <w:vAlign w:val="center"/>
          </w:tcPr>
          <w:p>
            <w:pPr>
              <w:pStyle w:val="11"/>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114.45</w:t>
            </w:r>
          </w:p>
        </w:tc>
        <w:tc>
          <w:tcPr>
            <w:tcW w:w="2551" w:type="dxa"/>
            <w:vAlign w:val="center"/>
          </w:tcPr>
          <w:p>
            <w:pPr>
              <w:pStyle w:val="11"/>
            </w:pPr>
          </w:p>
        </w:tc>
        <w:tc>
          <w:tcPr>
            <w:tcW w:w="2551" w:type="dxa"/>
            <w:vAlign w:val="center"/>
          </w:tcPr>
          <w:p>
            <w:pPr>
              <w:pStyle w:val="11"/>
            </w:pPr>
            <w:r>
              <w:t>114.45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14.45</w:t>
            </w:r>
          </w:p>
        </w:tc>
        <w:tc>
          <w:tcPr>
            <w:tcW w:w="2551" w:type="dxa"/>
            <w:vAlign w:val="center"/>
          </w:tcPr>
          <w:p>
            <w:pPr>
              <w:pStyle w:val="11"/>
            </w:pPr>
          </w:p>
        </w:tc>
        <w:tc>
          <w:tcPr>
            <w:tcW w:w="2551" w:type="dxa"/>
            <w:vAlign w:val="center"/>
          </w:tcPr>
          <w:p>
            <w:pPr>
              <w:pStyle w:val="11"/>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14.45</w:t>
            </w:r>
          </w:p>
        </w:tc>
        <w:tc>
          <w:tcPr>
            <w:tcW w:w="2551" w:type="dxa"/>
            <w:vAlign w:val="center"/>
          </w:tcPr>
          <w:p>
            <w:pPr>
              <w:pStyle w:val="11"/>
            </w:pPr>
          </w:p>
        </w:tc>
        <w:tc>
          <w:tcPr>
            <w:tcW w:w="2551" w:type="dxa"/>
            <w:vAlign w:val="center"/>
          </w:tcPr>
          <w:p>
            <w:pPr>
              <w:pStyle w:val="11"/>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1301.26</w:t>
            </w:r>
          </w:p>
        </w:tc>
        <w:tc>
          <w:tcPr>
            <w:tcW w:w="2551" w:type="dxa"/>
            <w:vAlign w:val="center"/>
          </w:tcPr>
          <w:p>
            <w:pPr>
              <w:pStyle w:val="15"/>
            </w:pPr>
            <w:r>
              <w:t>1102.80</w:t>
            </w:r>
          </w:p>
        </w:tc>
        <w:tc>
          <w:tcPr>
            <w:tcW w:w="2551" w:type="dxa"/>
            <w:vAlign w:val="center"/>
          </w:tcPr>
          <w:p>
            <w:pPr>
              <w:pStyle w:val="15"/>
            </w:pPr>
            <w:r>
              <w:t>198.46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1025.03</w:t>
            </w:r>
          </w:p>
        </w:tc>
        <w:tc>
          <w:tcPr>
            <w:tcW w:w="2551" w:type="dxa"/>
            <w:vAlign w:val="center"/>
          </w:tcPr>
          <w:p>
            <w:pPr>
              <w:pStyle w:val="11"/>
            </w:pPr>
            <w:r>
              <w:t>1025.03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225.58</w:t>
            </w:r>
          </w:p>
        </w:tc>
        <w:tc>
          <w:tcPr>
            <w:tcW w:w="2551" w:type="dxa"/>
            <w:vAlign w:val="center"/>
          </w:tcPr>
          <w:p>
            <w:pPr>
              <w:pStyle w:val="11"/>
            </w:pPr>
            <w:r>
              <w:t>225.58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231.46</w:t>
            </w:r>
          </w:p>
        </w:tc>
        <w:tc>
          <w:tcPr>
            <w:tcW w:w="2551" w:type="dxa"/>
            <w:vAlign w:val="center"/>
          </w:tcPr>
          <w:p>
            <w:pPr>
              <w:pStyle w:val="11"/>
            </w:pPr>
            <w:r>
              <w:t>231.46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113.20</w:t>
            </w:r>
          </w:p>
        </w:tc>
        <w:tc>
          <w:tcPr>
            <w:tcW w:w="2551" w:type="dxa"/>
            <w:vAlign w:val="center"/>
          </w:tcPr>
          <w:p>
            <w:pPr>
              <w:pStyle w:val="11"/>
            </w:pPr>
            <w:r>
              <w:t>113.20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128.04</w:t>
            </w:r>
          </w:p>
        </w:tc>
        <w:tc>
          <w:tcPr>
            <w:tcW w:w="2551" w:type="dxa"/>
            <w:vAlign w:val="center"/>
          </w:tcPr>
          <w:p>
            <w:pPr>
              <w:pStyle w:val="11"/>
            </w:pPr>
            <w:r>
              <w:t>128.04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119.48</w:t>
            </w:r>
          </w:p>
        </w:tc>
        <w:tc>
          <w:tcPr>
            <w:tcW w:w="2551" w:type="dxa"/>
            <w:vAlign w:val="center"/>
          </w:tcPr>
          <w:p>
            <w:pPr>
              <w:pStyle w:val="11"/>
            </w:pPr>
            <w:r>
              <w:t>119.48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39.11</w:t>
            </w:r>
          </w:p>
        </w:tc>
        <w:tc>
          <w:tcPr>
            <w:tcW w:w="2551" w:type="dxa"/>
            <w:vAlign w:val="center"/>
          </w:tcPr>
          <w:p>
            <w:pPr>
              <w:pStyle w:val="11"/>
            </w:pPr>
            <w:r>
              <w:t>39.11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30.26</w:t>
            </w:r>
          </w:p>
        </w:tc>
        <w:tc>
          <w:tcPr>
            <w:tcW w:w="2551" w:type="dxa"/>
            <w:vAlign w:val="center"/>
          </w:tcPr>
          <w:p>
            <w:pPr>
              <w:pStyle w:val="11"/>
            </w:pPr>
            <w:r>
              <w:t>30.26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46.64</w:t>
            </w:r>
          </w:p>
        </w:tc>
        <w:tc>
          <w:tcPr>
            <w:tcW w:w="2551" w:type="dxa"/>
            <w:vAlign w:val="center"/>
          </w:tcPr>
          <w:p>
            <w:pPr>
              <w:pStyle w:val="11"/>
            </w:pPr>
            <w:r>
              <w:t>46.64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91.27</w:t>
            </w:r>
          </w:p>
        </w:tc>
        <w:tc>
          <w:tcPr>
            <w:tcW w:w="2551" w:type="dxa"/>
            <w:vAlign w:val="center"/>
          </w:tcPr>
          <w:p>
            <w:pPr>
              <w:pStyle w:val="11"/>
            </w:pPr>
            <w:r>
              <w:t>91.27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184.46</w:t>
            </w:r>
          </w:p>
        </w:tc>
        <w:tc>
          <w:tcPr>
            <w:tcW w:w="2551" w:type="dxa"/>
            <w:vAlign w:val="center"/>
          </w:tcPr>
          <w:p>
            <w:pPr>
              <w:pStyle w:val="11"/>
            </w:pPr>
          </w:p>
        </w:tc>
        <w:tc>
          <w:tcPr>
            <w:tcW w:w="2551" w:type="dxa"/>
            <w:vAlign w:val="center"/>
          </w:tcPr>
          <w:p>
            <w:pPr>
              <w:pStyle w:val="11"/>
            </w:pPr>
            <w:r>
              <w:t>184.46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60.30</w:t>
            </w:r>
          </w:p>
        </w:tc>
        <w:tc>
          <w:tcPr>
            <w:tcW w:w="2551" w:type="dxa"/>
            <w:vAlign w:val="center"/>
          </w:tcPr>
          <w:p>
            <w:pPr>
              <w:pStyle w:val="11"/>
            </w:pPr>
          </w:p>
        </w:tc>
        <w:tc>
          <w:tcPr>
            <w:tcW w:w="2551" w:type="dxa"/>
            <w:vAlign w:val="center"/>
          </w:tcPr>
          <w:p>
            <w:pPr>
              <w:pStyle w:val="11"/>
            </w:pPr>
            <w:r>
              <w:t>60.30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24.74</w:t>
            </w:r>
          </w:p>
        </w:tc>
        <w:tc>
          <w:tcPr>
            <w:tcW w:w="2551" w:type="dxa"/>
            <w:vAlign w:val="center"/>
          </w:tcPr>
          <w:p>
            <w:pPr>
              <w:pStyle w:val="11"/>
            </w:pPr>
          </w:p>
        </w:tc>
        <w:tc>
          <w:tcPr>
            <w:tcW w:w="2551" w:type="dxa"/>
            <w:vAlign w:val="center"/>
          </w:tcPr>
          <w:p>
            <w:pPr>
              <w:pStyle w:val="11"/>
            </w:pPr>
            <w:r>
              <w:t>24.74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6.97</w:t>
            </w:r>
          </w:p>
        </w:tc>
        <w:tc>
          <w:tcPr>
            <w:tcW w:w="2551" w:type="dxa"/>
            <w:vAlign w:val="center"/>
          </w:tcPr>
          <w:p>
            <w:pPr>
              <w:pStyle w:val="11"/>
            </w:pPr>
          </w:p>
        </w:tc>
        <w:tc>
          <w:tcPr>
            <w:tcW w:w="2551" w:type="dxa"/>
            <w:vAlign w:val="center"/>
          </w:tcPr>
          <w:p>
            <w:pPr>
              <w:pStyle w:val="11"/>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5.64</w:t>
            </w:r>
          </w:p>
        </w:tc>
        <w:tc>
          <w:tcPr>
            <w:tcW w:w="2551" w:type="dxa"/>
            <w:vAlign w:val="center"/>
          </w:tcPr>
          <w:p>
            <w:pPr>
              <w:pStyle w:val="11"/>
            </w:pPr>
          </w:p>
        </w:tc>
        <w:tc>
          <w:tcPr>
            <w:tcW w:w="2551" w:type="dxa"/>
            <w:vAlign w:val="center"/>
          </w:tcPr>
          <w:p>
            <w:pPr>
              <w:pStyle w:val="11"/>
            </w:pPr>
            <w:r>
              <w:t>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35.40</w:t>
            </w:r>
          </w:p>
        </w:tc>
        <w:tc>
          <w:tcPr>
            <w:tcW w:w="2551" w:type="dxa"/>
            <w:vAlign w:val="center"/>
          </w:tcPr>
          <w:p>
            <w:pPr>
              <w:pStyle w:val="11"/>
            </w:pPr>
          </w:p>
        </w:tc>
        <w:tc>
          <w:tcPr>
            <w:tcW w:w="2551" w:type="dxa"/>
            <w:vAlign w:val="center"/>
          </w:tcPr>
          <w:p>
            <w:pPr>
              <w:pStyle w:val="11"/>
            </w:pPr>
            <w:r>
              <w:t>35.40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5.51</w:t>
            </w:r>
          </w:p>
        </w:tc>
        <w:tc>
          <w:tcPr>
            <w:tcW w:w="2551" w:type="dxa"/>
            <w:vAlign w:val="center"/>
          </w:tcPr>
          <w:p>
            <w:pPr>
              <w:pStyle w:val="11"/>
            </w:pPr>
          </w:p>
        </w:tc>
        <w:tc>
          <w:tcPr>
            <w:tcW w:w="2551" w:type="dxa"/>
            <w:vAlign w:val="center"/>
          </w:tcPr>
          <w:p>
            <w:pPr>
              <w:pStyle w:val="11"/>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77.76</w:t>
            </w:r>
          </w:p>
        </w:tc>
        <w:tc>
          <w:tcPr>
            <w:tcW w:w="2551" w:type="dxa"/>
            <w:vAlign w:val="center"/>
          </w:tcPr>
          <w:p>
            <w:pPr>
              <w:pStyle w:val="11"/>
            </w:pPr>
            <w:r>
              <w:t>77.76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70.10</w:t>
            </w:r>
          </w:p>
        </w:tc>
        <w:tc>
          <w:tcPr>
            <w:tcW w:w="2551" w:type="dxa"/>
            <w:vAlign w:val="center"/>
          </w:tcPr>
          <w:p>
            <w:pPr>
              <w:pStyle w:val="11"/>
            </w:pPr>
            <w:r>
              <w:t>70.10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7.64</w:t>
            </w:r>
          </w:p>
        </w:tc>
        <w:tc>
          <w:tcPr>
            <w:tcW w:w="2551" w:type="dxa"/>
            <w:vAlign w:val="center"/>
          </w:tcPr>
          <w:p>
            <w:pPr>
              <w:pStyle w:val="11"/>
            </w:pPr>
            <w:r>
              <w:t>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1</w:t>
            </w:r>
          </w:p>
        </w:tc>
        <w:tc>
          <w:tcPr>
            <w:tcW w:w="3798" w:type="dxa"/>
            <w:vAlign w:val="center"/>
          </w:tcPr>
          <w:p>
            <w:pPr>
              <w:pStyle w:val="12"/>
              <w:jc w:val="center"/>
              <w:rPr>
                <w:rFonts w:hint="eastAsia" w:eastAsia="方正书宋_GBK"/>
                <w:lang w:eastAsia="zh-CN"/>
              </w:rPr>
            </w:pPr>
            <w:r>
              <w:rPr>
                <w:rFonts w:hint="eastAsia"/>
                <w:b/>
                <w:bCs/>
                <w:lang w:eastAsia="zh-CN"/>
              </w:rPr>
              <w:t>合计</w:t>
            </w:r>
          </w:p>
        </w:tc>
        <w:tc>
          <w:tcPr>
            <w:tcW w:w="2381" w:type="dxa"/>
            <w:vAlign w:val="center"/>
          </w:tcPr>
          <w:p>
            <w:pPr>
              <w:pStyle w:val="11"/>
              <w:rPr>
                <w:rFonts w:hint="default" w:eastAsia="方正书宋_GBK"/>
                <w:lang w:val="en-US" w:eastAsia="zh-CN"/>
              </w:rPr>
            </w:pPr>
            <w:r>
              <w:rPr>
                <w:rFonts w:hint="eastAsia"/>
                <w:lang w:val="en-US" w:eastAsia="zh-CN"/>
              </w:rPr>
              <w:t>4.4</w:t>
            </w:r>
          </w:p>
        </w:tc>
        <w:tc>
          <w:tcPr>
            <w:tcW w:w="2381" w:type="dxa"/>
            <w:vAlign w:val="center"/>
          </w:tcPr>
          <w:p>
            <w:pPr>
              <w:pStyle w:val="11"/>
              <w:rPr>
                <w:rFonts w:hint="default" w:eastAsia="方正书宋_GBK"/>
                <w:lang w:val="en-US" w:eastAsia="zh-CN"/>
              </w:rPr>
            </w:pPr>
            <w:r>
              <w:rPr>
                <w:rFonts w:hint="eastAsia"/>
                <w:lang w:val="en-US" w:eastAsia="zh-CN"/>
              </w:rPr>
              <w:t>4.4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2</w:t>
            </w:r>
          </w:p>
        </w:tc>
        <w:tc>
          <w:tcPr>
            <w:tcW w:w="3798" w:type="dxa"/>
            <w:vAlign w:val="center"/>
          </w:tcPr>
          <w:p>
            <w:pPr>
              <w:pStyle w:val="12"/>
              <w:rPr>
                <w:rFonts w:hint="eastAsia" w:eastAsia="方正书宋_GBK"/>
                <w:lang w:eastAsia="zh-CN"/>
              </w:rPr>
            </w:pPr>
            <w:r>
              <w:rPr>
                <w:rFonts w:hint="eastAsia"/>
                <w:lang w:eastAsia="zh-CN"/>
              </w:rPr>
              <w:t>“三公”经费小计</w:t>
            </w:r>
          </w:p>
        </w:tc>
        <w:tc>
          <w:tcPr>
            <w:tcW w:w="2381" w:type="dxa"/>
            <w:vAlign w:val="center"/>
          </w:tcPr>
          <w:p>
            <w:pPr>
              <w:pStyle w:val="11"/>
              <w:rPr>
                <w:rFonts w:hint="default" w:eastAsia="方正书宋_GBK"/>
                <w:lang w:val="en-US" w:eastAsia="zh-CN"/>
              </w:rPr>
            </w:pPr>
            <w:r>
              <w:rPr>
                <w:rFonts w:hint="eastAsia"/>
                <w:lang w:val="en-US" w:eastAsia="zh-CN"/>
              </w:rPr>
              <w:t>4.4</w:t>
            </w:r>
          </w:p>
        </w:tc>
        <w:tc>
          <w:tcPr>
            <w:tcW w:w="2381" w:type="dxa"/>
            <w:vAlign w:val="center"/>
          </w:tcPr>
          <w:p>
            <w:pPr>
              <w:pStyle w:val="11"/>
              <w:rPr>
                <w:rFonts w:hint="default" w:eastAsia="方正书宋_GBK"/>
                <w:lang w:val="en-US" w:eastAsia="zh-CN"/>
              </w:rPr>
            </w:pPr>
            <w:r>
              <w:rPr>
                <w:rFonts w:hint="eastAsia"/>
                <w:lang w:val="en-US" w:eastAsia="zh-CN"/>
              </w:rPr>
              <w:t>4.4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3</w:t>
            </w:r>
          </w:p>
        </w:tc>
        <w:tc>
          <w:tcPr>
            <w:tcW w:w="3798" w:type="dxa"/>
            <w:vAlign w:val="center"/>
          </w:tcPr>
          <w:p>
            <w:pPr>
              <w:pStyle w:val="12"/>
              <w:rPr>
                <w:rFonts w:hint="eastAsia" w:eastAsia="方正书宋_GBK"/>
                <w:lang w:eastAsia="zh-CN"/>
              </w:rPr>
            </w:pPr>
            <w:r>
              <w:rPr>
                <w:rFonts w:hint="eastAsia"/>
                <w:lang w:eastAsia="zh-CN"/>
              </w:rP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4</w:t>
            </w:r>
          </w:p>
        </w:tc>
        <w:tc>
          <w:tcPr>
            <w:tcW w:w="3798" w:type="dxa"/>
            <w:vAlign w:val="center"/>
          </w:tcPr>
          <w:p>
            <w:pPr>
              <w:pStyle w:val="12"/>
              <w:ind w:firstLine="210" w:firstLineChars="100"/>
              <w:rPr>
                <w:rFonts w:hint="eastAsia" w:eastAsia="方正书宋_GBK"/>
                <w:lang w:eastAsia="zh-CN"/>
              </w:rPr>
            </w:pPr>
            <w:r>
              <w:rPr>
                <w:rFonts w:hint="eastAsia"/>
                <w:lang w:eastAsia="zh-CN"/>
              </w:rPr>
              <w:t>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5</w:t>
            </w:r>
          </w:p>
        </w:tc>
        <w:tc>
          <w:tcPr>
            <w:tcW w:w="3798" w:type="dxa"/>
            <w:vAlign w:val="center"/>
          </w:tcPr>
          <w:p>
            <w:pPr>
              <w:pStyle w:val="12"/>
              <w:ind w:firstLine="630" w:firstLineChars="300"/>
              <w:rPr>
                <w:rFonts w:hint="eastAsia" w:eastAsia="方正书宋_GBK"/>
                <w:lang w:eastAsia="zh-CN"/>
              </w:rPr>
            </w:pPr>
            <w:r>
              <w:rPr>
                <w:rFonts w:hint="eastAsia"/>
                <w:lang w:eastAsia="zh-CN"/>
              </w:rPr>
              <w:t>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6</w:t>
            </w:r>
          </w:p>
        </w:tc>
        <w:tc>
          <w:tcPr>
            <w:tcW w:w="3798" w:type="dxa"/>
            <w:vAlign w:val="center"/>
          </w:tcPr>
          <w:p>
            <w:pPr>
              <w:pStyle w:val="12"/>
              <w:rPr>
                <w:rFonts w:hint="eastAsia" w:eastAsia="方正书宋_GBK"/>
                <w:lang w:eastAsia="zh-CN"/>
              </w:rPr>
            </w:pPr>
            <w:r>
              <w:rPr>
                <w:rFonts w:hint="eastAsia"/>
                <w:lang w:eastAsia="zh-CN"/>
              </w:rPr>
              <w:t>一、公务用车购置及运维费</w:t>
            </w:r>
          </w:p>
        </w:tc>
        <w:tc>
          <w:tcPr>
            <w:tcW w:w="2381" w:type="dxa"/>
            <w:vAlign w:val="center"/>
          </w:tcPr>
          <w:p>
            <w:pPr>
              <w:pStyle w:val="11"/>
              <w:rPr>
                <w:rFonts w:hint="default" w:eastAsia="方正书宋_GBK"/>
                <w:lang w:val="en-US" w:eastAsia="zh-CN"/>
              </w:rPr>
            </w:pPr>
            <w:r>
              <w:rPr>
                <w:rFonts w:hint="eastAsia"/>
                <w:lang w:val="en-US" w:eastAsia="zh-CN"/>
              </w:rPr>
              <w:t>4.4</w:t>
            </w:r>
          </w:p>
        </w:tc>
        <w:tc>
          <w:tcPr>
            <w:tcW w:w="2381" w:type="dxa"/>
            <w:vAlign w:val="center"/>
          </w:tcPr>
          <w:p>
            <w:pPr>
              <w:pStyle w:val="11"/>
              <w:rPr>
                <w:rFonts w:hint="default" w:eastAsia="方正书宋_GBK"/>
                <w:lang w:val="en-US" w:eastAsia="zh-CN"/>
              </w:rPr>
            </w:pPr>
            <w:r>
              <w:rPr>
                <w:rFonts w:hint="eastAsia"/>
                <w:lang w:val="en-US" w:eastAsia="zh-CN"/>
              </w:rPr>
              <w:t>4.4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default" w:eastAsia="方正书宋_GBK"/>
                <w:lang w:val="en-US" w:eastAsia="zh-CN"/>
              </w:rPr>
            </w:pPr>
            <w:r>
              <w:rPr>
                <w:rFonts w:hint="eastAsia"/>
                <w:lang w:val="en-US" w:eastAsia="zh-CN"/>
              </w:rPr>
              <w:t>7</w:t>
            </w:r>
          </w:p>
        </w:tc>
        <w:tc>
          <w:tcPr>
            <w:tcW w:w="3798" w:type="dxa"/>
            <w:vAlign w:val="center"/>
          </w:tcPr>
          <w:p>
            <w:pPr>
              <w:pStyle w:val="12"/>
              <w:ind w:firstLine="210" w:firstLineChars="100"/>
              <w:rPr>
                <w:rFonts w:hint="eastAsia"/>
                <w:lang w:eastAsia="zh-CN"/>
              </w:rPr>
            </w:pPr>
            <w:r>
              <w:rPr>
                <w:rFonts w:hint="eastAsia"/>
                <w:lang w:eastAsia="zh-CN"/>
              </w:rPr>
              <w:t>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8</w:t>
            </w:r>
          </w:p>
        </w:tc>
        <w:tc>
          <w:tcPr>
            <w:tcW w:w="3798" w:type="dxa"/>
            <w:vAlign w:val="center"/>
          </w:tcPr>
          <w:p>
            <w:pPr>
              <w:pStyle w:val="12"/>
              <w:ind w:firstLine="630" w:firstLineChars="300"/>
              <w:rPr>
                <w:rFonts w:hint="eastAsia"/>
                <w:lang w:eastAsia="zh-CN"/>
              </w:rPr>
            </w:pPr>
            <w:r>
              <w:rPr>
                <w:rFonts w:hint="eastAsia"/>
                <w:lang w:eastAsia="zh-CN"/>
              </w:rPr>
              <w:t>公务用车运行维护费</w:t>
            </w:r>
          </w:p>
        </w:tc>
        <w:tc>
          <w:tcPr>
            <w:tcW w:w="2381" w:type="dxa"/>
            <w:vAlign w:val="center"/>
          </w:tcPr>
          <w:p>
            <w:pPr>
              <w:pStyle w:val="11"/>
              <w:rPr>
                <w:rFonts w:hint="default" w:eastAsia="方正书宋_GBK"/>
                <w:lang w:val="en-US" w:eastAsia="zh-CN"/>
              </w:rPr>
            </w:pPr>
            <w:r>
              <w:rPr>
                <w:rFonts w:hint="eastAsia"/>
                <w:lang w:val="en-US" w:eastAsia="zh-CN"/>
              </w:rPr>
              <w:t>4.4</w:t>
            </w:r>
          </w:p>
        </w:tc>
        <w:tc>
          <w:tcPr>
            <w:tcW w:w="2381" w:type="dxa"/>
            <w:vAlign w:val="center"/>
          </w:tcPr>
          <w:p>
            <w:pPr>
              <w:pStyle w:val="11"/>
              <w:rPr>
                <w:rFonts w:hint="default" w:eastAsia="方正书宋_GBK"/>
                <w:lang w:val="en-US" w:eastAsia="zh-CN"/>
              </w:rPr>
            </w:pPr>
            <w:r>
              <w:rPr>
                <w:rFonts w:hint="eastAsia"/>
                <w:lang w:val="en-US" w:eastAsia="zh-CN"/>
              </w:rPr>
              <w:t>4.4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9</w:t>
            </w:r>
          </w:p>
        </w:tc>
        <w:tc>
          <w:tcPr>
            <w:tcW w:w="3798" w:type="dxa"/>
            <w:vAlign w:val="center"/>
          </w:tcPr>
          <w:p>
            <w:pPr>
              <w:pStyle w:val="12"/>
              <w:rPr>
                <w:rFonts w:hint="eastAsia"/>
                <w:lang w:eastAsia="zh-CN"/>
              </w:rPr>
            </w:pPr>
            <w:r>
              <w:rPr>
                <w:rFonts w:hint="eastAsia"/>
                <w:lang w:eastAsia="zh-CN"/>
              </w:rP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按照《中华人民共和国预算法》、《地方预决算公开操作规程》和《关于进一步推进预算公开工作的实施意见》规定，现将石家庄市藁城区梅花镇人民政府本级2024年单位预算公开如下：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bookmarkStart w:id="1" w:name="_GoBack"/>
      <w:bookmarkEnd w:id="1"/>
    </w:p>
    <w:p>
      <w:pPr>
        <w:pStyle w:val="17"/>
        <w:rPr/>
      </w:pPr>
      <w:r>
        <w:rPr>
          <w:rFonts w:hint="eastAsia"/>
          <w:lang w:val="en-US" w:eastAsia="zh-CN"/>
        </w:rPr>
        <w:t>根据《石家庄市藁城区梅花镇人民政府职能配置、内设机构和人员编制规定》，石家庄市藁城区梅花镇人民政府的主要职责是：</w:t>
      </w:r>
    </w:p>
    <w:p>
      <w:pPr>
        <w:pStyle w:val="17"/>
        <w:rPr>
          <w:rFonts w:hint="default"/>
        </w:rPr>
      </w:pPr>
      <w:r>
        <w:rPr>
          <w:rFonts w:hint="eastAsia"/>
          <w:lang w:val="en-US" w:eastAsia="zh-CN"/>
        </w:rPr>
        <w:t>一、宣传贯彻执行党的路线方针政策和党中央，上级党组织的决议，贯彻执行法律、法规、规章和上级政府的决定、命令，执行本级人民代表大会的决议。</w:t>
      </w:r>
    </w:p>
    <w:p>
      <w:pPr>
        <w:pStyle w:val="17"/>
        <w:rPr>
          <w:rFonts w:hint="default"/>
        </w:rPr>
      </w:pPr>
      <w:r>
        <w:rPr>
          <w:rFonts w:hint="eastAsia"/>
          <w:lang w:val="en-US" w:eastAsia="zh-CN"/>
        </w:rPr>
        <w:t>二、讨论和决定本镇经济建设、政治建设、文化建设、社会建设、生态文明建设和党的建设以及乡村振兴中的重大问题，</w:t>
      </w:r>
    </w:p>
    <w:p>
      <w:pPr>
        <w:pStyle w:val="17"/>
        <w:rPr>
          <w:rFonts w:hint="default"/>
        </w:rPr>
      </w:pPr>
      <w:r>
        <w:rPr>
          <w:rFonts w:hint="eastAsia"/>
          <w:lang w:val="en-US" w:eastAsia="zh-CN"/>
        </w:rP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rPr>
          <w:rFonts w:hint="default"/>
        </w:rPr>
      </w:pPr>
      <w:r>
        <w:rPr>
          <w:rFonts w:hint="eastAsia"/>
          <w:lang w:val="en-US" w:eastAsia="zh-CN"/>
        </w:rP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pPr>
        <w:pStyle w:val="17"/>
        <w:rPr>
          <w:rFonts w:hint="eastAsia"/>
        </w:rPr>
      </w:pPr>
      <w:r>
        <w:rPr>
          <w:rFonts w:hint="eastAsia"/>
          <w:lang w:val="en-US" w:eastAsia="zh-CN"/>
        </w:rPr>
        <w:t>五、承办上级党委、政府交办的其他事项。</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石家庄市藁城区梅花镇人民政府本级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反映本单位当年全部收入。2024年预算收入1649.25万元，其中：一般公共预算收入1649.25万元，基金预算收入0万元，财政专户核拨收入0万元，其他来源收入0万元。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1649.25万元，其中基本支出1301.26万元，包括人员经费1102.8万元和日常公用经费198.46万元；项目支出347.99万元，主要为年初预算提前下达专款100万元、农村独生子女费4万元、学区工会费17.21万元、原经贸回乡涉军人员生活补贴3.89万元、公用经费（临时人员工资）28.06万元、公用经费（机关运转）75.74万元、公用经费15万元、马山线、衡井线占地补助经费14.45万元、人居环境工作经费35万元、政府工会费2.64万元、农村独生子女费4万元。</w:t>
      </w:r>
    </w:p>
    <w:p>
      <w:pPr>
        <w:pStyle w:val="18"/>
      </w:pPr>
      <w:r>
        <w:t>3、比上年增减情况</w:t>
      </w:r>
    </w:p>
    <w:p>
      <w:pPr>
        <w:pStyle w:val="18"/>
      </w:pPr>
      <w:r>
        <w:t>2024年单位预算收支安排1649.25万元，较2023年增加201.64万元，其中：基本支出增加61.55万元，主要是人员增加，相应增加人员经费和日常公用经费；项目支出增加140.09万元，主要是今年有年初预算提前下达专款。</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2024年，我单位机关运行经费共计安排198.46万元，主要用于保证机关正常运转的办公费、邮电费、差旅费、福利费、办公设备购置费、电费、办公取暖费、日常维修费、公务车运行维护费等支出。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4.4万元，其中：因公出国（境）费0万元，与上年持平，无增减变化；公务用车购置及运维费4.4万元（其中：公务用车购置费0万元，较上年减少5.2万元，原因是减少购买数量；公务用车运行维护费4.4万元，较上年增加1万元。原因是车辆年久失修，维护费增加)；公务接待费0万元，与上年持平，无增减变化。“三公”经费与上年相比减少4.2万元，原因是减少公车购买数量。</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13010924P00003910105A</w:t>
            </w:r>
          </w:p>
        </w:tc>
        <w:tc>
          <w:tcPr>
            <w:tcW w:w="2835" w:type="dxa"/>
            <w:vAlign w:val="center"/>
          </w:tcPr>
          <w:p>
            <w:pPr>
              <w:pStyle w:val="10"/>
            </w:pPr>
            <w:r>
              <w:t>项目名称</w:t>
            </w:r>
          </w:p>
        </w:tc>
        <w:tc>
          <w:tcPr>
            <w:tcW w:w="6094" w:type="dxa"/>
            <w:gridSpan w:val="3"/>
            <w:vAlign w:val="center"/>
          </w:tcPr>
          <w:p>
            <w:pPr>
              <w:pStyle w:val="12"/>
            </w:pPr>
            <w:r>
              <w:t>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保证各村及镇政府各项工作的顺利完成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1.保证各村及镇政府各项工作的顺利完成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任务数量</w:t>
            </w:r>
          </w:p>
        </w:tc>
        <w:tc>
          <w:tcPr>
            <w:tcW w:w="5386" w:type="dxa"/>
            <w:vAlign w:val="center"/>
          </w:tcPr>
          <w:p>
            <w:pPr>
              <w:pStyle w:val="12"/>
            </w:pPr>
            <w:r>
              <w:t>预算资金用于某项任务的项数</w:t>
            </w:r>
          </w:p>
        </w:tc>
        <w:tc>
          <w:tcPr>
            <w:tcW w:w="2268" w:type="dxa"/>
            <w:vAlign w:val="center"/>
          </w:tcPr>
          <w:p>
            <w:pPr>
              <w:pStyle w:val="12"/>
            </w:pPr>
            <w:r>
              <w:t>≥10项</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项目资金支出完成25%</w:t>
            </w:r>
          </w:p>
        </w:tc>
        <w:tc>
          <w:tcPr>
            <w:tcW w:w="2268" w:type="dxa"/>
            <w:vAlign w:val="center"/>
          </w:tcPr>
          <w:p>
            <w:pPr>
              <w:pStyle w:val="12"/>
            </w:pPr>
            <w:r>
              <w:t>每3个月</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用于支付每笔劳务费的资金</w:t>
            </w:r>
          </w:p>
        </w:tc>
        <w:tc>
          <w:tcPr>
            <w:tcW w:w="2268" w:type="dxa"/>
            <w:vAlign w:val="center"/>
          </w:tcPr>
          <w:p>
            <w:pPr>
              <w:pStyle w:val="12"/>
            </w:pPr>
            <w:r>
              <w:t>≤1.5万元</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2、公用经费（机关运转）绩效目标表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13010924P00003910102F</w:t>
            </w:r>
          </w:p>
        </w:tc>
        <w:tc>
          <w:tcPr>
            <w:tcW w:w="2835" w:type="dxa"/>
            <w:vAlign w:val="center"/>
          </w:tcPr>
          <w:p>
            <w:pPr>
              <w:pStyle w:val="10"/>
            </w:pPr>
            <w:r>
              <w:t>项目名称</w:t>
            </w:r>
          </w:p>
        </w:tc>
        <w:tc>
          <w:tcPr>
            <w:tcW w:w="6094" w:type="dxa"/>
            <w:gridSpan w:val="3"/>
            <w:vAlign w:val="center"/>
          </w:tcPr>
          <w:p>
            <w:pPr>
              <w:pStyle w:val="12"/>
            </w:pPr>
            <w:r>
              <w:t>公用经费（机关运转）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75.74</w:t>
            </w:r>
          </w:p>
        </w:tc>
        <w:tc>
          <w:tcPr>
            <w:tcW w:w="2835" w:type="dxa"/>
            <w:vAlign w:val="center"/>
          </w:tcPr>
          <w:p>
            <w:pPr>
              <w:pStyle w:val="10"/>
            </w:pPr>
            <w:r>
              <w:t>其中：财政    资金</w:t>
            </w:r>
          </w:p>
        </w:tc>
        <w:tc>
          <w:tcPr>
            <w:tcW w:w="2551" w:type="dxa"/>
            <w:vAlign w:val="center"/>
          </w:tcPr>
          <w:p>
            <w:pPr>
              <w:pStyle w:val="12"/>
            </w:pPr>
            <w:r>
              <w:t>75.74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保证各村及镇政府各项工作的顺利完成，提升政府各科室办公水平。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1.保证各村及镇政府各项工作的顺利完成</w:t>
            </w:r>
          </w:p>
          <w:p>
            <w:pPr>
              <w:pStyle w:val="12"/>
            </w:pPr>
            <w:r>
              <w:t>2.提升政府各科室办公水平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包含覆盖的村级数</w:t>
            </w:r>
          </w:p>
        </w:tc>
        <w:tc>
          <w:tcPr>
            <w:tcW w:w="5386" w:type="dxa"/>
            <w:vAlign w:val="center"/>
          </w:tcPr>
          <w:p>
            <w:pPr>
              <w:pStyle w:val="12"/>
            </w:pPr>
            <w:r>
              <w:t>各项工作完成情况覆盖的村级个数</w:t>
            </w:r>
          </w:p>
        </w:tc>
        <w:tc>
          <w:tcPr>
            <w:tcW w:w="2268" w:type="dxa"/>
            <w:vAlign w:val="center"/>
          </w:tcPr>
          <w:p>
            <w:pPr>
              <w:pStyle w:val="12"/>
            </w:pPr>
            <w:r>
              <w:t>≥19个</w:t>
            </w:r>
          </w:p>
        </w:tc>
        <w:tc>
          <w:tcPr>
            <w:tcW w:w="1276" w:type="dxa"/>
            <w:vAlign w:val="center"/>
          </w:tcPr>
          <w:p>
            <w:pPr>
              <w:pStyle w:val="12"/>
            </w:pPr>
            <w:r>
              <w:t>工作检查、考核报告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工作完成是否及时</w:t>
            </w:r>
          </w:p>
        </w:tc>
        <w:tc>
          <w:tcPr>
            <w:tcW w:w="5386" w:type="dxa"/>
            <w:vAlign w:val="center"/>
          </w:tcPr>
          <w:p>
            <w:pPr>
              <w:pStyle w:val="12"/>
            </w:pPr>
            <w:r>
              <w:t>项目资金支出完成25%</w:t>
            </w:r>
          </w:p>
        </w:tc>
        <w:tc>
          <w:tcPr>
            <w:tcW w:w="2268" w:type="dxa"/>
            <w:vAlign w:val="center"/>
          </w:tcPr>
          <w:p>
            <w:pPr>
              <w:pStyle w:val="12"/>
            </w:pPr>
            <w:r>
              <w:t>每3个月</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保障各村及镇政府日常工作正常开展的费用</w:t>
            </w:r>
          </w:p>
        </w:tc>
        <w:tc>
          <w:tcPr>
            <w:tcW w:w="2268" w:type="dxa"/>
            <w:vAlign w:val="center"/>
          </w:tcPr>
          <w:p>
            <w:pPr>
              <w:pStyle w:val="12"/>
            </w:pPr>
            <w:r>
              <w:t>≥3.98万元</w:t>
            </w:r>
          </w:p>
        </w:tc>
        <w:tc>
          <w:tcPr>
            <w:tcW w:w="1276"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保障政府正常开展为民服务工作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5386" w:type="dxa"/>
            <w:vAlign w:val="center"/>
          </w:tcPr>
          <w:p>
            <w:pPr>
              <w:pStyle w:val="12"/>
            </w:pPr>
            <w:r>
              <w:t>保障政府正常开展为民服务工作</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3、公用经费（临时人员工资）绩效目标表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13010924P00003910104N</w:t>
            </w:r>
          </w:p>
        </w:tc>
        <w:tc>
          <w:tcPr>
            <w:tcW w:w="2835" w:type="dxa"/>
            <w:vAlign w:val="center"/>
          </w:tcPr>
          <w:p>
            <w:pPr>
              <w:pStyle w:val="10"/>
            </w:pPr>
            <w:r>
              <w:t>项目名称</w:t>
            </w:r>
          </w:p>
        </w:tc>
        <w:tc>
          <w:tcPr>
            <w:tcW w:w="6094" w:type="dxa"/>
            <w:gridSpan w:val="3"/>
            <w:vAlign w:val="center"/>
          </w:tcPr>
          <w:p>
            <w:pPr>
              <w:pStyle w:val="12"/>
            </w:pPr>
            <w:r>
              <w:t>公用经费（临时人员工资）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28.06</w:t>
            </w:r>
          </w:p>
        </w:tc>
        <w:tc>
          <w:tcPr>
            <w:tcW w:w="2835" w:type="dxa"/>
            <w:vAlign w:val="center"/>
          </w:tcPr>
          <w:p>
            <w:pPr>
              <w:pStyle w:val="10"/>
            </w:pPr>
            <w:r>
              <w:t>其中：财政    资金</w:t>
            </w:r>
          </w:p>
        </w:tc>
        <w:tc>
          <w:tcPr>
            <w:tcW w:w="2551" w:type="dxa"/>
            <w:vAlign w:val="center"/>
          </w:tcPr>
          <w:p>
            <w:pPr>
              <w:pStyle w:val="12"/>
            </w:pPr>
            <w:r>
              <w:t>28.06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保障梅花镇临时人员工资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1.保障梅花镇临时人员工资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项目资金拨付人员数</w:t>
            </w:r>
          </w:p>
        </w:tc>
        <w:tc>
          <w:tcPr>
            <w:tcW w:w="5386" w:type="dxa"/>
            <w:vAlign w:val="center"/>
          </w:tcPr>
          <w:p>
            <w:pPr>
              <w:pStyle w:val="12"/>
            </w:pPr>
            <w:r>
              <w:t>及时发放工资的临时人员人数</w:t>
            </w:r>
          </w:p>
        </w:tc>
        <w:tc>
          <w:tcPr>
            <w:tcW w:w="2268" w:type="dxa"/>
            <w:vAlign w:val="center"/>
          </w:tcPr>
          <w:p>
            <w:pPr>
              <w:pStyle w:val="12"/>
            </w:pPr>
            <w:r>
              <w:t>≥8人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拨付资金占应发放工资的比例</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工资发放是否及时</w:t>
            </w:r>
          </w:p>
        </w:tc>
        <w:tc>
          <w:tcPr>
            <w:tcW w:w="5386" w:type="dxa"/>
            <w:vAlign w:val="center"/>
          </w:tcPr>
          <w:p>
            <w:pPr>
              <w:pStyle w:val="12"/>
            </w:pPr>
            <w:r>
              <w:t>应发放工资发放完成的日期</w:t>
            </w:r>
          </w:p>
        </w:tc>
        <w:tc>
          <w:tcPr>
            <w:tcW w:w="2268" w:type="dxa"/>
            <w:vAlign w:val="center"/>
          </w:tcPr>
          <w:p>
            <w:pPr>
              <w:pStyle w:val="12"/>
            </w:pPr>
            <w:r>
              <w:t>每两个月按时发放</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临时人员工资标准</w:t>
            </w:r>
          </w:p>
        </w:tc>
        <w:tc>
          <w:tcPr>
            <w:tcW w:w="5386" w:type="dxa"/>
            <w:vAlign w:val="center"/>
          </w:tcPr>
          <w:p>
            <w:pPr>
              <w:pStyle w:val="12"/>
            </w:pPr>
            <w:r>
              <w:t>临时人员工资标准</w:t>
            </w:r>
          </w:p>
        </w:tc>
        <w:tc>
          <w:tcPr>
            <w:tcW w:w="2268" w:type="dxa"/>
            <w:vAlign w:val="center"/>
          </w:tcPr>
          <w:p>
            <w:pPr>
              <w:pStyle w:val="12"/>
            </w:pPr>
            <w:r>
              <w:t>3.38万元/人</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临时人员满意度</w:t>
            </w:r>
          </w:p>
        </w:tc>
        <w:tc>
          <w:tcPr>
            <w:tcW w:w="5386" w:type="dxa"/>
            <w:vAlign w:val="center"/>
          </w:tcPr>
          <w:p>
            <w:pPr>
              <w:pStyle w:val="12"/>
            </w:pPr>
            <w:r>
              <w:t>临时人员对工资拨付的满意程度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4、马山线、衡井线占地补助经费绩效目标表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13010924P000039101156</w:t>
            </w:r>
          </w:p>
        </w:tc>
        <w:tc>
          <w:tcPr>
            <w:tcW w:w="2835" w:type="dxa"/>
            <w:vAlign w:val="center"/>
          </w:tcPr>
          <w:p>
            <w:pPr>
              <w:pStyle w:val="10"/>
            </w:pPr>
            <w:r>
              <w:t>项目名称</w:t>
            </w:r>
          </w:p>
        </w:tc>
        <w:tc>
          <w:tcPr>
            <w:tcW w:w="6094" w:type="dxa"/>
            <w:gridSpan w:val="3"/>
            <w:vAlign w:val="center"/>
          </w:tcPr>
          <w:p>
            <w:pPr>
              <w:pStyle w:val="12"/>
            </w:pPr>
            <w:r>
              <w:t>马山线、衡井线占地补助经费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14.45</w:t>
            </w:r>
          </w:p>
        </w:tc>
        <w:tc>
          <w:tcPr>
            <w:tcW w:w="2835" w:type="dxa"/>
            <w:vAlign w:val="center"/>
          </w:tcPr>
          <w:p>
            <w:pPr>
              <w:pStyle w:val="10"/>
            </w:pPr>
            <w:r>
              <w:t>其中：财政    资金</w:t>
            </w:r>
          </w:p>
        </w:tc>
        <w:tc>
          <w:tcPr>
            <w:tcW w:w="2551" w:type="dxa"/>
            <w:vAlign w:val="center"/>
          </w:tcPr>
          <w:p>
            <w:pPr>
              <w:pStyle w:val="12"/>
            </w:pPr>
            <w:r>
              <w:t>14.45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及时拨付马山线、衡井线占地补助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1.及时拨付马山线、衡井线占地补助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占地补偿农户的人数</w:t>
            </w:r>
          </w:p>
        </w:tc>
        <w:tc>
          <w:tcPr>
            <w:tcW w:w="5386" w:type="dxa"/>
            <w:vAlign w:val="center"/>
          </w:tcPr>
          <w:p>
            <w:pPr>
              <w:pStyle w:val="12"/>
            </w:pPr>
            <w:r>
              <w:t>发放占地补偿农户的人数</w:t>
            </w:r>
          </w:p>
        </w:tc>
        <w:tc>
          <w:tcPr>
            <w:tcW w:w="2268" w:type="dxa"/>
            <w:vAlign w:val="center"/>
          </w:tcPr>
          <w:p>
            <w:pPr>
              <w:pStyle w:val="12"/>
            </w:pPr>
            <w:r>
              <w:t>≥50人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拨付是否及时</w:t>
            </w:r>
          </w:p>
        </w:tc>
        <w:tc>
          <w:tcPr>
            <w:tcW w:w="5386" w:type="dxa"/>
            <w:vAlign w:val="center"/>
          </w:tcPr>
          <w:p>
            <w:pPr>
              <w:pStyle w:val="12"/>
            </w:pPr>
            <w:r>
              <w:t>及时拨付农户</w:t>
            </w:r>
          </w:p>
        </w:tc>
        <w:tc>
          <w:tcPr>
            <w:tcW w:w="2268" w:type="dxa"/>
            <w:vAlign w:val="center"/>
          </w:tcPr>
          <w:p>
            <w:pPr>
              <w:pStyle w:val="12"/>
            </w:pPr>
            <w:r>
              <w:t>按年拨付</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补偿标准</w:t>
            </w:r>
          </w:p>
        </w:tc>
        <w:tc>
          <w:tcPr>
            <w:tcW w:w="5386" w:type="dxa"/>
            <w:vAlign w:val="center"/>
          </w:tcPr>
          <w:p>
            <w:pPr>
              <w:pStyle w:val="12"/>
            </w:pPr>
            <w:r>
              <w:t>是否按照标准进行补偿</w:t>
            </w:r>
          </w:p>
        </w:tc>
        <w:tc>
          <w:tcPr>
            <w:tcW w:w="2268" w:type="dxa"/>
            <w:vAlign w:val="center"/>
          </w:tcPr>
          <w:p>
            <w:pPr>
              <w:pStyle w:val="12"/>
            </w:pPr>
            <w:r>
              <w:t>≥0.28万元/人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13010924P00003910116R</w:t>
            </w:r>
          </w:p>
        </w:tc>
        <w:tc>
          <w:tcPr>
            <w:tcW w:w="2835" w:type="dxa"/>
            <w:vAlign w:val="center"/>
          </w:tcPr>
          <w:p>
            <w:pPr>
              <w:pStyle w:val="10"/>
            </w:pPr>
            <w:r>
              <w:t>项目名称</w:t>
            </w:r>
          </w:p>
        </w:tc>
        <w:tc>
          <w:tcPr>
            <w:tcW w:w="6094" w:type="dxa"/>
            <w:gridSpan w:val="3"/>
            <w:vAlign w:val="center"/>
          </w:tcPr>
          <w:p>
            <w:pPr>
              <w:pStyle w:val="12"/>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保障农村独生子女家庭稳定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1.保障农村独生子女家庭稳定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农村独生子女的人数</w:t>
            </w:r>
          </w:p>
        </w:tc>
        <w:tc>
          <w:tcPr>
            <w:tcW w:w="5386" w:type="dxa"/>
            <w:vAlign w:val="center"/>
          </w:tcPr>
          <w:p>
            <w:pPr>
              <w:pStyle w:val="12"/>
            </w:pPr>
            <w:r>
              <w:t>发放农村独生子女费的人数</w:t>
            </w:r>
          </w:p>
        </w:tc>
        <w:tc>
          <w:tcPr>
            <w:tcW w:w="2268" w:type="dxa"/>
            <w:vAlign w:val="center"/>
          </w:tcPr>
          <w:p>
            <w:pPr>
              <w:pStyle w:val="12"/>
            </w:pPr>
            <w:r>
              <w:t>≤319人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拨付资金占应发放工资的比例</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是否及时发放农村独生子女费</w:t>
            </w:r>
          </w:p>
        </w:tc>
        <w:tc>
          <w:tcPr>
            <w:tcW w:w="2268" w:type="dxa"/>
            <w:vAlign w:val="center"/>
          </w:tcPr>
          <w:p>
            <w:pPr>
              <w:pStyle w:val="12"/>
            </w:pPr>
            <w:r>
              <w:t>按年发放</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财政资金投入</w:t>
            </w:r>
          </w:p>
        </w:tc>
        <w:tc>
          <w:tcPr>
            <w:tcW w:w="5386" w:type="dxa"/>
            <w:vAlign w:val="center"/>
          </w:tcPr>
          <w:p>
            <w:pPr>
              <w:pStyle w:val="12"/>
            </w:pPr>
            <w:r>
              <w:t>每人发放的农村独生子女费</w:t>
            </w:r>
          </w:p>
        </w:tc>
        <w:tc>
          <w:tcPr>
            <w:tcW w:w="2268" w:type="dxa"/>
            <w:vAlign w:val="center"/>
          </w:tcPr>
          <w:p>
            <w:pPr>
              <w:pStyle w:val="12"/>
            </w:pPr>
            <w:r>
              <w:t>≥125.39元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保障独生子女家庭稳定</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家庭满意度</w:t>
            </w:r>
          </w:p>
        </w:tc>
        <w:tc>
          <w:tcPr>
            <w:tcW w:w="5386" w:type="dxa"/>
            <w:vAlign w:val="center"/>
          </w:tcPr>
          <w:p>
            <w:pPr>
              <w:pStyle w:val="12"/>
            </w:pPr>
            <w:r>
              <w:t>拨付的满意程度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6、人居环境工作经费绩效目标表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13010924P000039101008</w:t>
            </w:r>
          </w:p>
        </w:tc>
        <w:tc>
          <w:tcPr>
            <w:tcW w:w="2835" w:type="dxa"/>
            <w:vAlign w:val="center"/>
          </w:tcPr>
          <w:p>
            <w:pPr>
              <w:pStyle w:val="10"/>
            </w:pPr>
            <w:r>
              <w:t>项目名称</w:t>
            </w:r>
          </w:p>
        </w:tc>
        <w:tc>
          <w:tcPr>
            <w:tcW w:w="6094" w:type="dxa"/>
            <w:gridSpan w:val="3"/>
            <w:vAlign w:val="center"/>
          </w:tcPr>
          <w:p>
            <w:pPr>
              <w:pStyle w:val="12"/>
            </w:pPr>
            <w:r>
              <w:t>人居环境工作经费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提升梅花镇的乡村建设与人居环境整治水平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1.提升梅花镇的乡村建设与人居环境整治水平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覆盖数</w:t>
            </w:r>
          </w:p>
        </w:tc>
        <w:tc>
          <w:tcPr>
            <w:tcW w:w="5386" w:type="dxa"/>
            <w:vAlign w:val="center"/>
          </w:tcPr>
          <w:p>
            <w:pPr>
              <w:pStyle w:val="12"/>
            </w:pPr>
            <w:r>
              <w:t>各项工作完成情况覆盖的村级个数</w:t>
            </w:r>
          </w:p>
        </w:tc>
        <w:tc>
          <w:tcPr>
            <w:tcW w:w="2268" w:type="dxa"/>
            <w:vAlign w:val="center"/>
          </w:tcPr>
          <w:p>
            <w:pPr>
              <w:pStyle w:val="12"/>
            </w:pPr>
            <w:r>
              <w:t>≥19个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项目资金支出完成25%</w:t>
            </w:r>
          </w:p>
        </w:tc>
        <w:tc>
          <w:tcPr>
            <w:tcW w:w="2268" w:type="dxa"/>
            <w:vAlign w:val="center"/>
          </w:tcPr>
          <w:p>
            <w:pPr>
              <w:pStyle w:val="12"/>
            </w:pPr>
            <w:r>
              <w:t>每3个月</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用于各村人居环境整治的资金</w:t>
            </w:r>
          </w:p>
        </w:tc>
        <w:tc>
          <w:tcPr>
            <w:tcW w:w="2268" w:type="dxa"/>
            <w:vAlign w:val="center"/>
          </w:tcPr>
          <w:p>
            <w:pPr>
              <w:pStyle w:val="12"/>
            </w:pPr>
            <w:r>
              <w:t>≥1.84万元</w:t>
            </w:r>
          </w:p>
        </w:tc>
        <w:tc>
          <w:tcPr>
            <w:tcW w:w="1276"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为民服务保障能力提升情况</w:t>
            </w:r>
          </w:p>
        </w:tc>
        <w:tc>
          <w:tcPr>
            <w:tcW w:w="5386" w:type="dxa"/>
            <w:vAlign w:val="center"/>
          </w:tcPr>
          <w:p>
            <w:pPr>
              <w:pStyle w:val="12"/>
            </w:pPr>
            <w:r>
              <w:t>有效保障政府正常开展大气污染防治与人居环境整治工作</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7、石财农【2023】86号 关于提前下达2024年中央农村综合改革转移支付预算的通知绩效目标表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13010924P00000110410W</w:t>
            </w:r>
          </w:p>
        </w:tc>
        <w:tc>
          <w:tcPr>
            <w:tcW w:w="2835" w:type="dxa"/>
            <w:vAlign w:val="center"/>
          </w:tcPr>
          <w:p>
            <w:pPr>
              <w:pStyle w:val="10"/>
            </w:pPr>
            <w:r>
              <w:t>项目名称</w:t>
            </w:r>
          </w:p>
        </w:tc>
        <w:tc>
          <w:tcPr>
            <w:tcW w:w="6094" w:type="dxa"/>
            <w:gridSpan w:val="3"/>
            <w:vAlign w:val="center"/>
          </w:tcPr>
          <w:p>
            <w:pPr>
              <w:pStyle w:val="12"/>
            </w:pPr>
            <w:r>
              <w:t>石财农【2023】86号 关于提前下达2024年中央农村综合改革转移支付预算的通知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推进农村公益事业建设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1.推进农村公益事业建设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村级个数</w:t>
            </w:r>
          </w:p>
        </w:tc>
        <w:tc>
          <w:tcPr>
            <w:tcW w:w="5386" w:type="dxa"/>
            <w:vAlign w:val="center"/>
          </w:tcPr>
          <w:p>
            <w:pPr>
              <w:pStyle w:val="12"/>
            </w:pPr>
            <w:r>
              <w:t>建设农村红色文化村级个数</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全部工程完工后验收符合行业标准质量</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按照年初预算标准合理分配及时拨付</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按照预算项目执行</w:t>
            </w:r>
          </w:p>
        </w:tc>
        <w:tc>
          <w:tcPr>
            <w:tcW w:w="2268" w:type="dxa"/>
            <w:vAlign w:val="center"/>
          </w:tcPr>
          <w:p>
            <w:pPr>
              <w:pStyle w:val="12"/>
            </w:pPr>
            <w:r>
              <w:t>元/项目</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农村红色文化水平得到提升</w:t>
            </w:r>
          </w:p>
        </w:tc>
        <w:tc>
          <w:tcPr>
            <w:tcW w:w="5386" w:type="dxa"/>
            <w:vAlign w:val="center"/>
          </w:tcPr>
          <w:p>
            <w:pPr>
              <w:pStyle w:val="12"/>
            </w:pPr>
            <w:r>
              <w:t>农村文化有所提升也得到了有效改善</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群众对当年农村红色文化建设的整体满意度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8、信访、环保、土地、安全生产工作经费绩效目标表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13010924P00003910101U</w:t>
            </w:r>
          </w:p>
        </w:tc>
        <w:tc>
          <w:tcPr>
            <w:tcW w:w="2835" w:type="dxa"/>
            <w:vAlign w:val="center"/>
          </w:tcPr>
          <w:p>
            <w:pPr>
              <w:pStyle w:val="10"/>
            </w:pPr>
            <w:r>
              <w:t>项目名称</w:t>
            </w:r>
          </w:p>
        </w:tc>
        <w:tc>
          <w:tcPr>
            <w:tcW w:w="6094" w:type="dxa"/>
            <w:gridSpan w:val="3"/>
            <w:vAlign w:val="center"/>
          </w:tcPr>
          <w:p>
            <w:pPr>
              <w:pStyle w:val="12"/>
            </w:pPr>
            <w:r>
              <w:t>信访、环保、土地、安全生产工作经费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保障梅花镇开展信访、环保、土地、安全生产各项工作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1.保障梅花镇开展信访、环保、土地、安全生产各项工作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包含覆盖村级个数</w:t>
            </w:r>
          </w:p>
        </w:tc>
        <w:tc>
          <w:tcPr>
            <w:tcW w:w="5386" w:type="dxa"/>
            <w:vAlign w:val="center"/>
          </w:tcPr>
          <w:p>
            <w:pPr>
              <w:pStyle w:val="12"/>
            </w:pPr>
            <w:r>
              <w:t>各项工作完成情况覆盖的村级个数</w:t>
            </w:r>
          </w:p>
        </w:tc>
        <w:tc>
          <w:tcPr>
            <w:tcW w:w="2268" w:type="dxa"/>
            <w:vAlign w:val="center"/>
          </w:tcPr>
          <w:p>
            <w:pPr>
              <w:pStyle w:val="12"/>
            </w:pPr>
            <w:r>
              <w:t>≥19个</w:t>
            </w:r>
          </w:p>
        </w:tc>
        <w:tc>
          <w:tcPr>
            <w:tcW w:w="1276" w:type="dxa"/>
            <w:vAlign w:val="center"/>
          </w:tcPr>
          <w:p>
            <w:pPr>
              <w:pStyle w:val="12"/>
            </w:pPr>
            <w:r>
              <w:t>工作检查、考核报告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项目资金支出完成25%</w:t>
            </w:r>
          </w:p>
        </w:tc>
        <w:tc>
          <w:tcPr>
            <w:tcW w:w="2268" w:type="dxa"/>
            <w:vAlign w:val="center"/>
          </w:tcPr>
          <w:p>
            <w:pPr>
              <w:pStyle w:val="12"/>
            </w:pPr>
            <w:r>
              <w:t>每3个月</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用于各村信访、环保、土地、安全生产的工作经费</w:t>
            </w:r>
          </w:p>
        </w:tc>
        <w:tc>
          <w:tcPr>
            <w:tcW w:w="2268" w:type="dxa"/>
            <w:vAlign w:val="center"/>
          </w:tcPr>
          <w:p>
            <w:pPr>
              <w:pStyle w:val="12"/>
            </w:pPr>
            <w:r>
              <w:t>≥2.73万元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13010924P00003910117D</w:t>
            </w:r>
          </w:p>
        </w:tc>
        <w:tc>
          <w:tcPr>
            <w:tcW w:w="2835" w:type="dxa"/>
            <w:vAlign w:val="center"/>
          </w:tcPr>
          <w:p>
            <w:pPr>
              <w:pStyle w:val="10"/>
            </w:pPr>
            <w:r>
              <w:t>项目名称</w:t>
            </w:r>
          </w:p>
        </w:tc>
        <w:tc>
          <w:tcPr>
            <w:tcW w:w="6094" w:type="dxa"/>
            <w:gridSpan w:val="3"/>
            <w:vAlign w:val="center"/>
          </w:tcPr>
          <w:p>
            <w:pPr>
              <w:pStyle w:val="12"/>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17.21</w:t>
            </w:r>
          </w:p>
        </w:tc>
        <w:tc>
          <w:tcPr>
            <w:tcW w:w="2835" w:type="dxa"/>
            <w:vAlign w:val="center"/>
          </w:tcPr>
          <w:p>
            <w:pPr>
              <w:pStyle w:val="10"/>
            </w:pPr>
            <w:r>
              <w:t>其中：财政    资金</w:t>
            </w:r>
          </w:p>
        </w:tc>
        <w:tc>
          <w:tcPr>
            <w:tcW w:w="2551" w:type="dxa"/>
            <w:vAlign w:val="center"/>
          </w:tcPr>
          <w:p>
            <w:pPr>
              <w:pStyle w:val="12"/>
            </w:pPr>
            <w:r>
              <w:t>17.21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保障工会工作的正常运转，保障工会费及时、足额上缴。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1.保障工会工作的正常运转</w:t>
            </w:r>
          </w:p>
          <w:p>
            <w:pPr>
              <w:pStyle w:val="12"/>
            </w:pPr>
            <w:r>
              <w:t>2.保障工会费及时、足额上缴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梅花镇中心校在职人数</w:t>
            </w:r>
          </w:p>
        </w:tc>
        <w:tc>
          <w:tcPr>
            <w:tcW w:w="5386" w:type="dxa"/>
            <w:vAlign w:val="center"/>
          </w:tcPr>
          <w:p>
            <w:pPr>
              <w:pStyle w:val="12"/>
            </w:pPr>
            <w:r>
              <w:t>上缴工会费的人数</w:t>
            </w:r>
          </w:p>
        </w:tc>
        <w:tc>
          <w:tcPr>
            <w:tcW w:w="2268" w:type="dxa"/>
            <w:vAlign w:val="center"/>
          </w:tcPr>
          <w:p>
            <w:pPr>
              <w:pStyle w:val="12"/>
            </w:pPr>
            <w:r>
              <w:t>≥354人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上缴资金及时性</w:t>
            </w:r>
          </w:p>
        </w:tc>
        <w:tc>
          <w:tcPr>
            <w:tcW w:w="5386" w:type="dxa"/>
            <w:vAlign w:val="center"/>
          </w:tcPr>
          <w:p>
            <w:pPr>
              <w:pStyle w:val="12"/>
            </w:pPr>
            <w:r>
              <w:t>按照区工会安排时间进度上缴工会费</w:t>
            </w:r>
          </w:p>
        </w:tc>
        <w:tc>
          <w:tcPr>
            <w:tcW w:w="2268" w:type="dxa"/>
            <w:vAlign w:val="center"/>
          </w:tcPr>
          <w:p>
            <w:pPr>
              <w:pStyle w:val="12"/>
            </w:pPr>
            <w:r>
              <w:t>按照区工会安排时间及时上缴</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每人上缴的工会费</w:t>
            </w:r>
          </w:p>
        </w:tc>
        <w:tc>
          <w:tcPr>
            <w:tcW w:w="2268" w:type="dxa"/>
            <w:vAlign w:val="center"/>
          </w:tcPr>
          <w:p>
            <w:pPr>
              <w:pStyle w:val="12"/>
            </w:pPr>
            <w:r>
              <w:t>≥486.15元</w:t>
            </w:r>
          </w:p>
        </w:tc>
        <w:tc>
          <w:tcPr>
            <w:tcW w:w="1276" w:type="dxa"/>
            <w:vAlign w:val="center"/>
          </w:tcPr>
          <w:p>
            <w:pPr>
              <w:pStyle w:val="12"/>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w:t>
            </w:r>
          </w:p>
        </w:tc>
        <w:tc>
          <w:tcPr>
            <w:tcW w:w="1276" w:type="dxa"/>
            <w:vAlign w:val="center"/>
          </w:tcPr>
          <w:p>
            <w:pPr>
              <w:pStyle w:val="12"/>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对政府供给工作的满意度</w:t>
            </w:r>
          </w:p>
        </w:tc>
        <w:tc>
          <w:tcPr>
            <w:tcW w:w="2268" w:type="dxa"/>
            <w:vAlign w:val="center"/>
          </w:tcPr>
          <w:p>
            <w:pPr>
              <w:pStyle w:val="12"/>
            </w:pPr>
            <w:r>
              <w:t>≥90%</w:t>
            </w:r>
          </w:p>
        </w:tc>
        <w:tc>
          <w:tcPr>
            <w:tcW w:w="1276" w:type="dxa"/>
            <w:vAlign w:val="center"/>
          </w:tcPr>
          <w:p>
            <w:pPr>
              <w:pStyle w:val="12"/>
            </w:pPr>
            <w:r>
              <w:t>考核结果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10、原经贸回乡涉军人员补贴绩效目标表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13010924P000039101181</w:t>
            </w:r>
          </w:p>
        </w:tc>
        <w:tc>
          <w:tcPr>
            <w:tcW w:w="2835" w:type="dxa"/>
            <w:vAlign w:val="center"/>
          </w:tcPr>
          <w:p>
            <w:pPr>
              <w:pStyle w:val="10"/>
            </w:pPr>
            <w:r>
              <w:t>项目名称</w:t>
            </w:r>
          </w:p>
        </w:tc>
        <w:tc>
          <w:tcPr>
            <w:tcW w:w="6094" w:type="dxa"/>
            <w:gridSpan w:val="3"/>
            <w:vAlign w:val="center"/>
          </w:tcPr>
          <w:p>
            <w:pPr>
              <w:pStyle w:val="12"/>
            </w:pPr>
            <w:r>
              <w:t>原经贸回乡涉军人员补贴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3.89</w:t>
            </w:r>
          </w:p>
        </w:tc>
        <w:tc>
          <w:tcPr>
            <w:tcW w:w="2835" w:type="dxa"/>
            <w:vAlign w:val="center"/>
          </w:tcPr>
          <w:p>
            <w:pPr>
              <w:pStyle w:val="10"/>
            </w:pPr>
            <w:r>
              <w:t>其中：财政    资金</w:t>
            </w:r>
          </w:p>
        </w:tc>
        <w:tc>
          <w:tcPr>
            <w:tcW w:w="2551" w:type="dxa"/>
            <w:vAlign w:val="center"/>
          </w:tcPr>
          <w:p>
            <w:pPr>
              <w:pStyle w:val="12"/>
            </w:pPr>
            <w:r>
              <w:t>3.89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通过对原经贸系统关闭企业下放回乡的合同工、副业工涉军人员生活补贴，促进社会和谐稳定。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1.通过对原经贸系统关闭企业下放回乡的合同工、副业工涉军人员生活补贴，促进社会和谐稳定。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原经贸回乡涉军人员人数</w:t>
            </w:r>
          </w:p>
        </w:tc>
        <w:tc>
          <w:tcPr>
            <w:tcW w:w="5386" w:type="dxa"/>
            <w:vAlign w:val="center"/>
          </w:tcPr>
          <w:p>
            <w:pPr>
              <w:pStyle w:val="12"/>
            </w:pPr>
            <w:r>
              <w:t>发放原经贸回乡涉军人员补贴的人数</w:t>
            </w:r>
          </w:p>
        </w:tc>
        <w:tc>
          <w:tcPr>
            <w:tcW w:w="2268" w:type="dxa"/>
            <w:vAlign w:val="center"/>
          </w:tcPr>
          <w:p>
            <w:pPr>
              <w:pStyle w:val="12"/>
            </w:pPr>
            <w:r>
              <w:t>≤16人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拨付资金占应发放生活补贴的比例</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是否及时发放补贴</w:t>
            </w:r>
          </w:p>
        </w:tc>
        <w:tc>
          <w:tcPr>
            <w:tcW w:w="2268" w:type="dxa"/>
            <w:vAlign w:val="center"/>
          </w:tcPr>
          <w:p>
            <w:pPr>
              <w:pStyle w:val="12"/>
            </w:pPr>
            <w:r>
              <w:t>按年发放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涉军人员补贴标准</w:t>
            </w:r>
          </w:p>
        </w:tc>
        <w:tc>
          <w:tcPr>
            <w:tcW w:w="2268" w:type="dxa"/>
            <w:vAlign w:val="center"/>
          </w:tcPr>
          <w:p>
            <w:pPr>
              <w:pStyle w:val="12"/>
            </w:pPr>
            <w:r>
              <w:t>≤2431.25元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开展为民服务保障能力提升情况</w:t>
            </w:r>
          </w:p>
        </w:tc>
        <w:tc>
          <w:tcPr>
            <w:tcW w:w="5386" w:type="dxa"/>
            <w:vAlign w:val="center"/>
          </w:tcPr>
          <w:p>
            <w:pPr>
              <w:pStyle w:val="12"/>
            </w:pPr>
            <w:r>
              <w:t>保障经贸系统下方回乡的涉军人员生活</w:t>
            </w:r>
          </w:p>
        </w:tc>
        <w:tc>
          <w:tcPr>
            <w:tcW w:w="2268" w:type="dxa"/>
            <w:vAlign w:val="center"/>
          </w:tcPr>
          <w:p>
            <w:pPr>
              <w:pStyle w:val="12"/>
            </w:pPr>
            <w:r>
              <w:t>较上年有所提升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受益群体满意度指标</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13010924P00003910119L</w:t>
            </w:r>
          </w:p>
        </w:tc>
        <w:tc>
          <w:tcPr>
            <w:tcW w:w="2835" w:type="dxa"/>
            <w:vAlign w:val="center"/>
          </w:tcPr>
          <w:p>
            <w:pPr>
              <w:pStyle w:val="10"/>
            </w:pPr>
            <w:r>
              <w:t>项目名称</w:t>
            </w:r>
          </w:p>
        </w:tc>
        <w:tc>
          <w:tcPr>
            <w:tcW w:w="6094" w:type="dxa"/>
            <w:gridSpan w:val="3"/>
            <w:vAlign w:val="center"/>
          </w:tcPr>
          <w:p>
            <w:pPr>
              <w:pStyle w:val="12"/>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2.64</w:t>
            </w:r>
          </w:p>
        </w:tc>
        <w:tc>
          <w:tcPr>
            <w:tcW w:w="2835" w:type="dxa"/>
            <w:vAlign w:val="center"/>
          </w:tcPr>
          <w:p>
            <w:pPr>
              <w:pStyle w:val="10"/>
            </w:pPr>
            <w:r>
              <w:t>其中：财政    资金</w:t>
            </w:r>
          </w:p>
        </w:tc>
        <w:tc>
          <w:tcPr>
            <w:tcW w:w="2551" w:type="dxa"/>
            <w:vAlign w:val="center"/>
          </w:tcPr>
          <w:p>
            <w:pPr>
              <w:pStyle w:val="12"/>
            </w:pPr>
            <w:r>
              <w:t>2.64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保障工会费及时足额上缴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1.保障工会费足额上缴</w:t>
            </w:r>
          </w:p>
          <w:p>
            <w:pPr>
              <w:pStyle w:val="12"/>
            </w:pPr>
            <w:r>
              <w:t>2.保障工会费及时上交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梅花镇政府在职人数</w:t>
            </w:r>
          </w:p>
        </w:tc>
        <w:tc>
          <w:tcPr>
            <w:tcW w:w="5386" w:type="dxa"/>
            <w:vAlign w:val="center"/>
          </w:tcPr>
          <w:p>
            <w:pPr>
              <w:pStyle w:val="12"/>
            </w:pPr>
            <w:r>
              <w:t>上缴工会费的人数</w:t>
            </w:r>
          </w:p>
        </w:tc>
        <w:tc>
          <w:tcPr>
            <w:tcW w:w="2268" w:type="dxa"/>
            <w:vAlign w:val="center"/>
          </w:tcPr>
          <w:p>
            <w:pPr>
              <w:pStyle w:val="12"/>
            </w:pPr>
            <w:r>
              <w:t>≥65人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上缴资金及时性</w:t>
            </w:r>
          </w:p>
        </w:tc>
        <w:tc>
          <w:tcPr>
            <w:tcW w:w="5386" w:type="dxa"/>
            <w:vAlign w:val="center"/>
          </w:tcPr>
          <w:p>
            <w:pPr>
              <w:pStyle w:val="12"/>
            </w:pPr>
            <w:r>
              <w:t>按照区工会安排时间进度上缴工会费</w:t>
            </w:r>
          </w:p>
        </w:tc>
        <w:tc>
          <w:tcPr>
            <w:tcW w:w="2268" w:type="dxa"/>
            <w:vAlign w:val="center"/>
          </w:tcPr>
          <w:p>
            <w:pPr>
              <w:pStyle w:val="12"/>
            </w:pPr>
            <w:r>
              <w:t>按照区工会安排及时上缴</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每人上缴的工会费标准</w:t>
            </w:r>
          </w:p>
        </w:tc>
        <w:tc>
          <w:tcPr>
            <w:tcW w:w="2268" w:type="dxa"/>
            <w:vAlign w:val="center"/>
          </w:tcPr>
          <w:p>
            <w:pPr>
              <w:pStyle w:val="12"/>
            </w:pPr>
            <w:r>
              <w:t>≥406.15元</w:t>
            </w:r>
          </w:p>
        </w:tc>
        <w:tc>
          <w:tcPr>
            <w:tcW w:w="1276" w:type="dxa"/>
            <w:vAlign w:val="center"/>
          </w:tcPr>
          <w:p>
            <w:pPr>
              <w:pStyle w:val="12"/>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≥85%</w:t>
            </w:r>
          </w:p>
        </w:tc>
        <w:tc>
          <w:tcPr>
            <w:tcW w:w="1276" w:type="dxa"/>
            <w:vAlign w:val="center"/>
          </w:tcPr>
          <w:p>
            <w:pPr>
              <w:pStyle w:val="12"/>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群众对当年工作的满意数量占总数的比例</w:t>
            </w:r>
          </w:p>
        </w:tc>
        <w:tc>
          <w:tcPr>
            <w:tcW w:w="2268" w:type="dxa"/>
            <w:vAlign w:val="center"/>
          </w:tcPr>
          <w:p>
            <w:pPr>
              <w:pStyle w:val="12"/>
            </w:pPr>
            <w:r>
              <w:t>≥90%</w:t>
            </w:r>
          </w:p>
        </w:tc>
        <w:tc>
          <w:tcPr>
            <w:tcW w:w="1276" w:type="dxa"/>
            <w:vAlign w:val="center"/>
          </w:tcPr>
          <w:p>
            <w:pPr>
              <w:pStyle w:val="12"/>
            </w:pPr>
            <w:r>
              <w:t>随机走访</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石家庄市藁城区梅花镇人民政府本级上年末固定资产金额为255.10万元（详见下表）。本年度拟购置固定资产总额为0.00万元，已按要求列入政府采购预算，详见政府采购预算表。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3629</w:t>
            </w:r>
          </w:p>
        </w:tc>
        <w:tc>
          <w:tcPr>
            <w:tcW w:w="2835" w:type="dxa"/>
            <w:vAlign w:val="center"/>
          </w:tcPr>
          <w:p>
            <w:pPr>
              <w:pStyle w:val="11"/>
            </w:pPr>
            <w:r>
              <w:t>135.46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500</w:t>
            </w:r>
          </w:p>
        </w:tc>
        <w:tc>
          <w:tcPr>
            <w:tcW w:w="2835"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119.64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1C30925"/>
    <w:rsid w:val="02683C06"/>
    <w:rsid w:val="294E2C3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2024-03-01T09:39:33Z</dcterms:created>
  <dcterms:modified xsi:type="dcterms:W3CDTF">2024-03-01T01:39:33Z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2024-03-01T09:39:33Z</dcterms:created>
  <dcterms:modified xsi:type="dcterms:W3CDTF">2024-03-01T01:39:33Z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2024-03-01T09:39:34Z</dcterms:created>
  <dcterms:modified xsi:type="dcterms:W3CDTF">2024-03-01T01:39:34Z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2024-03-01T09:39:34Z</dcterms:created>
  <dcterms:modified xsi:type="dcterms:W3CDTF">2024-03-01T01:39:34Z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2024-03-01T09:39:31Z</dcterms:created>
  <dcterms:modified xsi:type="dcterms:W3CDTF">2024-03-01T01:39:31Z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2024-03-01T09:39:35Z</dcterms:created>
  <dcterms:modified xsi:type="dcterms:W3CDTF">2024-03-01T01:39:34Z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2024-03-01T09:39:35Z</dcterms:created>
  <dcterms:modified xsi:type="dcterms:W3CDTF">2024-03-01T01:39:35Z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2024-03-01T09:39:36Z</dcterms:created>
  <dcterms:modified xsi:type="dcterms:W3CDTF">2024-03-01T01:39:35Z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2024-03-01T09:38:49Z</dcterms:created>
  <dcterms:modified xsi:type="dcterms:W3CDTF">2024-03-01T01:38:49Z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2024-03-01T09:39:30Z</dcterms:created>
  <dcterms:modified xsi:type="dcterms:W3CDTF">2024-03-01T01:39:30Z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2024-03-01T09:39:31Z</dcterms:created>
  <dcterms:modified xsi:type="dcterms:W3CDTF">2024-03-01T01:39:31Z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2024-03-01T09:38:43Z</dcterms:created>
  <dcterms:modified xsi:type="dcterms:W3CDTF">2024-03-01T01:38:43Z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2024-03-01T09:39:32Z</dcterms:created>
  <dcterms:modified xsi:type="dcterms:W3CDTF">2024-03-01T01:39:32Z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2024-03-01T09:39:32Z</dcterms:created>
  <dcterms:modified xsi:type="dcterms:W3CDTF">2024-03-01T01:39:32Z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e04e93d-fbaa-4f5c-ac64-8e21e55bb956}">
  <ds:schemaRefs/>
</ds:datastoreItem>
</file>

<file path=customXml/itemProps11.xml><?xml version="1.0" encoding="utf-8"?>
<ds:datastoreItem xmlns:ds="http://schemas.openxmlformats.org/officeDocument/2006/customXml" ds:itemID="{a36be4c8-4861-450b-ba64-322fbf9c7e37}">
  <ds:schemaRefs/>
</ds:datastoreItem>
</file>

<file path=customXml/itemProps12.xml><?xml version="1.0" encoding="utf-8"?>
<ds:datastoreItem xmlns:ds="http://schemas.openxmlformats.org/officeDocument/2006/customXml" ds:itemID="{f80ad18a-ff55-4e0e-a9a4-59ca22796755}">
  <ds:schemaRefs/>
</ds:datastoreItem>
</file>

<file path=customXml/itemProps13.xml><?xml version="1.0" encoding="utf-8"?>
<ds:datastoreItem xmlns:ds="http://schemas.openxmlformats.org/officeDocument/2006/customXml" ds:itemID="{b720ae41-acfe-4601-a6db-a99a9a27dc5a}">
  <ds:schemaRefs/>
</ds:datastoreItem>
</file>

<file path=customXml/itemProps14.xml><?xml version="1.0" encoding="utf-8"?>
<ds:datastoreItem xmlns:ds="http://schemas.openxmlformats.org/officeDocument/2006/customXml" ds:itemID="{c4883dfe-fe53-4777-9497-47ca2107b996}">
  <ds:schemaRefs/>
</ds:datastoreItem>
</file>

<file path=customXml/itemProps15.xml><?xml version="1.0" encoding="utf-8"?>
<ds:datastoreItem xmlns:ds="http://schemas.openxmlformats.org/officeDocument/2006/customXml" ds:itemID="{a03113fc-5fb6-41c8-bf0d-65bbc78ee08a}">
  <ds:schemaRefs/>
</ds:datastoreItem>
</file>

<file path=customXml/itemProps16.xml><?xml version="1.0" encoding="utf-8"?>
<ds:datastoreItem xmlns:ds="http://schemas.openxmlformats.org/officeDocument/2006/customXml" ds:itemID="{8a32980c-f931-4905-b109-a0b1aad3925f}">
  <ds:schemaRefs/>
</ds:datastoreItem>
</file>

<file path=customXml/itemProps17.xml><?xml version="1.0" encoding="utf-8"?>
<ds:datastoreItem xmlns:ds="http://schemas.openxmlformats.org/officeDocument/2006/customXml" ds:itemID="{db3ad7cf-8124-4193-a4ea-8126b5b3c6c8}">
  <ds:schemaRefs/>
</ds:datastoreItem>
</file>

<file path=customXml/itemProps18.xml><?xml version="1.0" encoding="utf-8"?>
<ds:datastoreItem xmlns:ds="http://schemas.openxmlformats.org/officeDocument/2006/customXml" ds:itemID="{521aa884-7762-41e9-b83b-eef55da190c2}">
  <ds:schemaRefs/>
</ds:datastoreItem>
</file>

<file path=customXml/itemProps19.xml><?xml version="1.0" encoding="utf-8"?>
<ds:datastoreItem xmlns:ds="http://schemas.openxmlformats.org/officeDocument/2006/customXml" ds:itemID="{7389e9a3-fac5-4a21-a089-dee317e7dcc1}">
  <ds:schemaRefs/>
</ds:datastoreItem>
</file>

<file path=customXml/itemProps2.xml><?xml version="1.0" encoding="utf-8"?>
<ds:datastoreItem xmlns:ds="http://schemas.openxmlformats.org/officeDocument/2006/customXml" ds:itemID="{ea7c9c47-3b0c-4478-a9cd-6f8f55d99bde}">
  <ds:schemaRefs/>
</ds:datastoreItem>
</file>

<file path=customXml/itemProps20.xml><?xml version="1.0" encoding="utf-8"?>
<ds:datastoreItem xmlns:ds="http://schemas.openxmlformats.org/officeDocument/2006/customXml" ds:itemID="{5355e4a9-ebee-4a30-81b8-f8de535c8dbf}">
  <ds:schemaRefs/>
</ds:datastoreItem>
</file>

<file path=customXml/itemProps21.xml><?xml version="1.0" encoding="utf-8"?>
<ds:datastoreItem xmlns:ds="http://schemas.openxmlformats.org/officeDocument/2006/customXml" ds:itemID="{c6ee034a-0eee-457a-b390-a23651d79e76}">
  <ds:schemaRefs/>
</ds:datastoreItem>
</file>

<file path=customXml/itemProps22.xml><?xml version="1.0" encoding="utf-8"?>
<ds:datastoreItem xmlns:ds="http://schemas.openxmlformats.org/officeDocument/2006/customXml" ds:itemID="{3b21a16a-c4fc-4029-ad16-3305423fc4a4}">
  <ds:schemaRefs/>
</ds:datastoreItem>
</file>

<file path=customXml/itemProps23.xml><?xml version="1.0" encoding="utf-8"?>
<ds:datastoreItem xmlns:ds="http://schemas.openxmlformats.org/officeDocument/2006/customXml" ds:itemID="{56c7ff02-6486-43de-b5a4-3712843bf57f}">
  <ds:schemaRefs/>
</ds:datastoreItem>
</file>

<file path=customXml/itemProps24.xml><?xml version="1.0" encoding="utf-8"?>
<ds:datastoreItem xmlns:ds="http://schemas.openxmlformats.org/officeDocument/2006/customXml" ds:itemID="{f725e790-78d0-47b9-b8c1-b6812e31985f}">
  <ds:schemaRefs/>
</ds:datastoreItem>
</file>

<file path=customXml/itemProps25.xml><?xml version="1.0" encoding="utf-8"?>
<ds:datastoreItem xmlns:ds="http://schemas.openxmlformats.org/officeDocument/2006/customXml" ds:itemID="{9069f1a4-bec6-40e6-9e7e-c1d6c652e1f0}">
  <ds:schemaRefs/>
</ds:datastoreItem>
</file>

<file path=customXml/itemProps26.xml><?xml version="1.0" encoding="utf-8"?>
<ds:datastoreItem xmlns:ds="http://schemas.openxmlformats.org/officeDocument/2006/customXml" ds:itemID="{6e66313c-91f2-4003-9b47-a0043059c2fe}">
  <ds:schemaRefs/>
</ds:datastoreItem>
</file>

<file path=customXml/itemProps27.xml><?xml version="1.0" encoding="utf-8"?>
<ds:datastoreItem xmlns:ds="http://schemas.openxmlformats.org/officeDocument/2006/customXml" ds:itemID="{408ef244-4c7b-474c-8d5d-b03573935046}">
  <ds:schemaRefs/>
</ds:datastoreItem>
</file>

<file path=customXml/itemProps28.xml><?xml version="1.0" encoding="utf-8"?>
<ds:datastoreItem xmlns:ds="http://schemas.openxmlformats.org/officeDocument/2006/customXml" ds:itemID="{6ed247c7-9849-41b9-b4d8-c6d78e52dcc4}">
  <ds:schemaRefs/>
</ds:datastoreItem>
</file>

<file path=customXml/itemProps29.xml><?xml version="1.0" encoding="utf-8"?>
<ds:datastoreItem xmlns:ds="http://schemas.openxmlformats.org/officeDocument/2006/customXml" ds:itemID="{fe96d33b-5af9-495f-8dd9-ff35733174fd}">
  <ds:schemaRefs/>
</ds:datastoreItem>
</file>

<file path=customXml/itemProps3.xml><?xml version="1.0" encoding="utf-8"?>
<ds:datastoreItem xmlns:ds="http://schemas.openxmlformats.org/officeDocument/2006/customXml" ds:itemID="{83ae792d-2d02-4643-9968-e81601682cb7}">
  <ds:schemaRefs/>
</ds:datastoreItem>
</file>

<file path=customXml/itemProps4.xml><?xml version="1.0" encoding="utf-8"?>
<ds:datastoreItem xmlns:ds="http://schemas.openxmlformats.org/officeDocument/2006/customXml" ds:itemID="{e2f6636d-706c-4477-b935-8e3475b8fe13}">
  <ds:schemaRefs/>
</ds:datastoreItem>
</file>

<file path=customXml/itemProps5.xml><?xml version="1.0" encoding="utf-8"?>
<ds:datastoreItem xmlns:ds="http://schemas.openxmlformats.org/officeDocument/2006/customXml" ds:itemID="{070b7d9d-7865-4386-a681-d0d51295a476}">
  <ds:schemaRefs/>
</ds:datastoreItem>
</file>

<file path=customXml/itemProps6.xml><?xml version="1.0" encoding="utf-8"?>
<ds:datastoreItem xmlns:ds="http://schemas.openxmlformats.org/officeDocument/2006/customXml" ds:itemID="{bd8a198f-ffcb-4a27-8f8f-da1934bf99aa}">
  <ds:schemaRefs/>
</ds:datastoreItem>
</file>

<file path=customXml/itemProps7.xml><?xml version="1.0" encoding="utf-8"?>
<ds:datastoreItem xmlns:ds="http://schemas.openxmlformats.org/officeDocument/2006/customXml" ds:itemID="{4a0f81b5-2a82-4b64-a954-6b3e3024ed60}">
  <ds:schemaRefs/>
</ds:datastoreItem>
</file>

<file path=customXml/itemProps8.xml><?xml version="1.0" encoding="utf-8"?>
<ds:datastoreItem xmlns:ds="http://schemas.openxmlformats.org/officeDocument/2006/customXml" ds:itemID="{e70fdd78-3be0-4b53-b018-a3b054a219e0}">
  <ds:schemaRefs/>
</ds:datastoreItem>
</file>

<file path=customXml/itemProps9.xml><?xml version="1.0" encoding="utf-8"?>
<ds:datastoreItem xmlns:ds="http://schemas.openxmlformats.org/officeDocument/2006/customXml" ds:itemID="{8c526518-7012-4625-b6d3-c1a92607dffe}">
  <ds:schemaRefs/>
</ds:datastoreItem>
</file>

<file path=docProps/app.xml><?xml version="1.0" encoding="utf-8"?>
<Properties xmlns="http://schemas.openxmlformats.org/officeDocument/2006/extended-properties" xmlns:vt="http://schemas.openxmlformats.org/officeDocument/2006/docPropsVTypes">
  <TotalTime>14</TotalTime>
  <ScaleCrop>false</ScaleCrop>
  <LinksUpToDate>false</LinksUpToDate>
  <Application>WPS Office_11.1.0.9208_F1E327BC-269C-435d-A152-05C5408002CA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2024-03-01T09:39:00Z</dcterms:created>
  <dc:creator>Administrator</dc:creator>
  <cp:lastModifiedBy>Administrator</cp:lastModifiedBy>
  <dcterms:modified xsi:type="dcterms:W3CDTF">2024-03-04T08:58:25Z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