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石家庄市藁城区退役军人事务局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整体支出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bCs w:val="0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bCs w:val="0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黑体" w:hAnsi="黑体" w:eastAsia="黑体" w:cs="黑体"/>
          <w:b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 w:val="0"/>
          <w:sz w:val="32"/>
          <w:szCs w:val="32"/>
        </w:rPr>
        <w:t>一、</w:t>
      </w:r>
      <w:r>
        <w:rPr>
          <w:rFonts w:hint="eastAsia" w:ascii="黑体" w:hAnsi="黑体" w:eastAsia="黑体" w:cs="黑体"/>
          <w:b/>
          <w:bCs w:val="0"/>
          <w:sz w:val="32"/>
          <w:szCs w:val="32"/>
          <w:lang w:eastAsia="zh-CN"/>
        </w:rPr>
        <w:t>部门基本情况</w:t>
      </w:r>
    </w:p>
    <w:p>
      <w:pPr>
        <w:spacing w:before="0" w:after="0" w:line="240" w:lineRule="auto"/>
        <w:ind w:firstLine="640"/>
        <w:jc w:val="left"/>
        <w:outlineLvl w:val="9"/>
        <w:rPr>
          <w:b/>
          <w:bCs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部门职责：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(一）、双拥优抚安置政策及管理 组指导全市拥军优属活动。组织对优抚对象的优待、抚恤的政策落实，负责全市转业士官、退役士官及军队离退休干部、退休士官和无军籍退休退职职工接收安置工作。解决优抚对象的生活、住房、医疗困难，做好义务兵家庭优待和烈士褒扬工作。推行阳光安置，保障退役士兵合法权益；加强职业教育和技能培训，提高退役士兵参与社会竞争能力；按时足额发放各类经济补助。做好军队离退休干部、退休士官和军队无军籍退休退职职工接收安置工作，全面落实军休干部政治生活待遇。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（二） 优抚事业单位运行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收养参加战争的无子女赡养的残疾军人，老复员军人，参战烈属。为革命老人服务，将光荣院建成革命教育基地和社会文明窗口，保障光荣院正常运行。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（三）优抚事业单位建设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负责园区内烈士纪念建筑物维护、管理工作：1、烈士纪念建筑物日常及定期维修、维护；2、园区内安全保卫、保洁工作；3、临时聘用人员工资支出等。确保烈士纪念建筑物整肃穆，为社会提供良好的瞻仰和教育的常场所，充分发挥爱国主义教育基地的作用。根据中华人民共和国国务院令第601号《烈士褒扬条例》，达到烈士纪念建筑物整洁、肃穆，为社会提供良好的瞻仰和教育的常场所，充分发挥爱国主义教育基地的作用。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（四）军休干部服务管理</w:t>
      </w: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参加政治学习、参观考察、发放补贴、重大节日走访慰问、开展文体活动，去世后丧葬事宜，落实各项政治待遇和生活待遇。</w:t>
      </w:r>
    </w:p>
    <w:p>
      <w:pPr>
        <w:pStyle w:val="9"/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</w:pPr>
    </w:p>
    <w:p>
      <w:pPr>
        <w:pStyle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2"/>
          <w:sz w:val="32"/>
          <w:szCs w:val="32"/>
          <w:lang w:val="en-US" w:eastAsia="zh-CN" w:bidi="ar-SA"/>
        </w:rPr>
        <w:t>组织机构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：</w:t>
      </w:r>
    </w:p>
    <w:tbl>
      <w:tblPr>
        <w:tblStyle w:val="4"/>
        <w:tblW w:w="0" w:type="auto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5669" w:type="dxa"/>
            <w:vAlign w:val="center"/>
          </w:tcPr>
          <w:p>
            <w:pPr>
              <w:pStyle w:val="10"/>
            </w:pPr>
            <w:r>
              <w:t>单位名称</w:t>
            </w:r>
          </w:p>
        </w:tc>
        <w:tc>
          <w:tcPr>
            <w:tcW w:w="1843" w:type="dxa"/>
            <w:vAlign w:val="center"/>
          </w:tcPr>
          <w:p>
            <w:pPr>
              <w:pStyle w:val="10"/>
            </w:pPr>
            <w:r>
              <w:t>单位性质</w:t>
            </w:r>
          </w:p>
        </w:tc>
        <w:tc>
          <w:tcPr>
            <w:tcW w:w="2126" w:type="dxa"/>
            <w:vAlign w:val="center"/>
          </w:tcPr>
          <w:p>
            <w:pPr>
              <w:pStyle w:val="10"/>
            </w:pPr>
            <w:r>
              <w:t>单位规格</w:t>
            </w:r>
          </w:p>
        </w:tc>
        <w:tc>
          <w:tcPr>
            <w:tcW w:w="3827" w:type="dxa"/>
            <w:vAlign w:val="center"/>
          </w:tcPr>
          <w:p>
            <w:pPr>
              <w:pStyle w:val="10"/>
            </w:pPr>
            <w: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11"/>
            </w:pPr>
            <w:r>
              <w:t>石家庄市藁城区退役军人事务局本级</w:t>
            </w:r>
          </w:p>
        </w:tc>
        <w:tc>
          <w:tcPr>
            <w:tcW w:w="1843" w:type="dxa"/>
            <w:vAlign w:val="center"/>
          </w:tcPr>
          <w:p>
            <w:pPr>
              <w:pStyle w:val="12"/>
            </w:pPr>
            <w:r>
              <w:t>行政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正科级</w:t>
            </w:r>
          </w:p>
        </w:tc>
        <w:tc>
          <w:tcPr>
            <w:tcW w:w="3827" w:type="dxa"/>
            <w:vAlign w:val="center"/>
          </w:tcPr>
          <w:p>
            <w:pPr>
              <w:pStyle w:val="12"/>
            </w:pPr>
            <w:r>
              <w:t>财政拨款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11"/>
            </w:pPr>
            <w:r>
              <w:t>石家庄市藁城区光荣院</w:t>
            </w:r>
          </w:p>
        </w:tc>
        <w:tc>
          <w:tcPr>
            <w:tcW w:w="1843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副科级</w:t>
            </w:r>
          </w:p>
        </w:tc>
        <w:tc>
          <w:tcPr>
            <w:tcW w:w="3827" w:type="dxa"/>
            <w:vAlign w:val="center"/>
          </w:tcPr>
          <w:p>
            <w:pPr>
              <w:pStyle w:val="12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11"/>
            </w:pPr>
            <w:r>
              <w:t>石家庄市藁城区烈士陵园</w:t>
            </w:r>
          </w:p>
        </w:tc>
        <w:tc>
          <w:tcPr>
            <w:tcW w:w="1843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副科级</w:t>
            </w:r>
          </w:p>
        </w:tc>
        <w:tc>
          <w:tcPr>
            <w:tcW w:w="3827" w:type="dxa"/>
            <w:vAlign w:val="center"/>
          </w:tcPr>
          <w:p>
            <w:pPr>
              <w:pStyle w:val="12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11"/>
            </w:pPr>
            <w:r>
              <w:t>石家庄市藁城区退役军人服务中心</w:t>
            </w:r>
          </w:p>
        </w:tc>
        <w:tc>
          <w:tcPr>
            <w:tcW w:w="1843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副科级</w:t>
            </w:r>
          </w:p>
        </w:tc>
        <w:tc>
          <w:tcPr>
            <w:tcW w:w="3827" w:type="dxa"/>
            <w:vAlign w:val="center"/>
          </w:tcPr>
          <w:p>
            <w:pPr>
              <w:pStyle w:val="12"/>
            </w:pPr>
            <w:r>
              <w:t>财政性资金基本保证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69" w:type="dxa"/>
            <w:vAlign w:val="center"/>
          </w:tcPr>
          <w:p>
            <w:pPr>
              <w:pStyle w:val="11"/>
            </w:pPr>
            <w:r>
              <w:t>石家庄市藁城区军队离休退休干部休养所</w:t>
            </w:r>
          </w:p>
        </w:tc>
        <w:tc>
          <w:tcPr>
            <w:tcW w:w="1843" w:type="dxa"/>
            <w:vAlign w:val="center"/>
          </w:tcPr>
          <w:p>
            <w:pPr>
              <w:pStyle w:val="12"/>
            </w:pPr>
            <w:r>
              <w:t>事业</w:t>
            </w:r>
          </w:p>
        </w:tc>
        <w:tc>
          <w:tcPr>
            <w:tcW w:w="2126" w:type="dxa"/>
            <w:vAlign w:val="center"/>
          </w:tcPr>
          <w:p>
            <w:pPr>
              <w:pStyle w:val="12"/>
            </w:pPr>
            <w:r>
              <w:t>股级</w:t>
            </w:r>
          </w:p>
        </w:tc>
        <w:tc>
          <w:tcPr>
            <w:tcW w:w="3827" w:type="dxa"/>
            <w:vAlign w:val="center"/>
          </w:tcPr>
          <w:p>
            <w:pPr>
              <w:pStyle w:val="12"/>
            </w:pPr>
            <w:r>
              <w:t>财政性资金基本保证</w:t>
            </w:r>
          </w:p>
        </w:tc>
      </w:tr>
    </w:tbl>
    <w:p>
      <w:pPr>
        <w:pStyle w:val="9"/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部门收支预决算：</w:t>
      </w:r>
    </w:p>
    <w:p>
      <w:pPr>
        <w:numPr>
          <w:ilvl w:val="0"/>
          <w:numId w:val="0"/>
        </w:numPr>
        <w:spacing w:line="460" w:lineRule="exact"/>
        <w:ind w:firstLine="640" w:firstLineChars="200"/>
        <w:rPr>
          <w:rFonts w:ascii="Times New Roman" w:hAnsi="Times New Roman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</w:t>
      </w:r>
      <w:r>
        <w:rPr>
          <w:rFonts w:hint="eastAsia" w:ascii="Times New Roman" w:hAnsi="Times New Roman" w:eastAsia="仿宋" w:cs="Times New Roman"/>
          <w:sz w:val="32"/>
          <w:szCs w:val="32"/>
        </w:rPr>
        <w:t>2022年预算收入</w:t>
      </w:r>
      <w:r>
        <w:rPr>
          <w:rFonts w:hint="eastAsia" w:eastAsia="仿宋" w:cs="Times New Roman"/>
          <w:sz w:val="32"/>
          <w:szCs w:val="32"/>
          <w:lang w:val="en-US" w:eastAsia="zh-CN"/>
        </w:rPr>
        <w:t>15028.29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万元，其中：一般公共预算收入</w:t>
      </w:r>
      <w:r>
        <w:rPr>
          <w:rFonts w:hint="eastAsia" w:eastAsia="仿宋" w:cs="Times New Roman"/>
          <w:sz w:val="32"/>
          <w:szCs w:val="32"/>
          <w:lang w:val="en-US" w:eastAsia="zh-CN"/>
        </w:rPr>
        <w:t>15028.29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万元，基金预算收入0万元，财政专户核拨收入0万元，其他来源收入0万元。</w:t>
      </w:r>
    </w:p>
    <w:p>
      <w:pPr>
        <w:numPr>
          <w:ilvl w:val="0"/>
          <w:numId w:val="0"/>
        </w:numPr>
        <w:spacing w:line="460" w:lineRule="exact"/>
        <w:ind w:firstLine="640" w:firstLineChars="200"/>
        <w:rPr>
          <w:rFonts w:hint="eastAsia" w:ascii="Times New Roman" w:hAnsi="Times New Roman" w:eastAsia="仿宋" w:cs="Times New Roman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本部门2022年决算收入支出为16270.43万元，</w:t>
      </w:r>
      <w:r>
        <w:rPr>
          <w:rFonts w:hint="eastAsia" w:ascii="Times New Roman" w:hAnsi="Times New Roman" w:eastAsia="仿宋" w:cs="Times New Roman"/>
          <w:sz w:val="32"/>
          <w:szCs w:val="32"/>
        </w:rPr>
        <w:t>其中：一般公共预算收入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16270.43</w:t>
      </w:r>
      <w:r>
        <w:rPr>
          <w:rFonts w:hint="eastAsia" w:ascii="Times New Roman" w:hAnsi="Times New Roman" w:eastAsia="仿宋" w:cs="Times New Roman"/>
          <w:sz w:val="32"/>
          <w:szCs w:val="32"/>
        </w:rPr>
        <w:t>万元，基金预算收入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0万元，财政专户核拨收入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0万元，其他来源收入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支出</w:t>
      </w:r>
      <w:r>
        <w:rPr>
          <w:rFonts w:hint="eastAsia" w:ascii="Times New Roman" w:hAnsi="Times New Roman" w:eastAsia="仿宋" w:cs="Times New Roman"/>
          <w:sz w:val="32"/>
          <w:szCs w:val="32"/>
        </w:rPr>
        <w:t>0万元。</w:t>
      </w:r>
    </w:p>
    <w:p>
      <w:pPr>
        <w:numPr>
          <w:ilvl w:val="0"/>
          <w:numId w:val="0"/>
        </w:numPr>
        <w:spacing w:line="460" w:lineRule="exact"/>
        <w:ind w:firstLine="643" w:firstLineChars="200"/>
        <w:rPr>
          <w:rFonts w:hint="eastAsia" w:ascii="Times New Roman" w:hAnsi="Times New Roman" w:eastAsia="仿宋" w:cs="Times New Roman"/>
          <w:b/>
          <w:bCs/>
          <w:sz w:val="32"/>
          <w:szCs w:val="32"/>
          <w:lang w:eastAsia="zh-CN"/>
        </w:rPr>
      </w:pPr>
    </w:p>
    <w:p>
      <w:pPr>
        <w:numPr>
          <w:ilvl w:val="0"/>
          <w:numId w:val="0"/>
        </w:numPr>
        <w:spacing w:line="460" w:lineRule="exact"/>
        <w:ind w:firstLine="643" w:firstLineChars="200"/>
        <w:rPr>
          <w:rFonts w:hint="eastAsia" w:ascii="Times New Roman" w:hAnsi="Times New Roman" w:eastAsia="仿宋" w:cs="Times New Roman"/>
          <w:b/>
          <w:bCs/>
          <w:sz w:val="32"/>
          <w:szCs w:val="32"/>
          <w:lang w:eastAsia="zh-CN"/>
        </w:rPr>
      </w:pPr>
      <w:r>
        <w:rPr>
          <w:rFonts w:hint="eastAsia" w:ascii="Times New Roman" w:hAnsi="Times New Roman" w:eastAsia="仿宋" w:cs="Times New Roman"/>
          <w:b/>
          <w:bCs/>
          <w:sz w:val="32"/>
          <w:szCs w:val="32"/>
          <w:lang w:eastAsia="zh-CN"/>
        </w:rPr>
        <w:t>部门整体支出绩效目标：</w:t>
      </w:r>
    </w:p>
    <w:p>
      <w:pPr>
        <w:numPr>
          <w:ilvl w:val="0"/>
          <w:numId w:val="0"/>
        </w:numPr>
        <w:spacing w:line="460" w:lineRule="exact"/>
        <w:ind w:firstLine="640" w:firstLineChars="200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</w:rPr>
        <w:t>以习近平总书记关于退役军人事务工作的重要指示为依据，全面深入贯彻中央、省市区退役军人事务的决策部署，以“让退役军人和优抚对象满意”为目标，实现区镇村三级退役军人服务站全覆盖，推进“两站一中心”建设，建立健全各级退役军人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就业、退役军人信息保障、党员管理</w:t>
      </w:r>
      <w:r>
        <w:rPr>
          <w:rFonts w:hint="eastAsia" w:ascii="Times New Roman" w:hAnsi="Times New Roman" w:eastAsia="仿宋" w:cs="Times New Roman"/>
          <w:sz w:val="32"/>
          <w:szCs w:val="32"/>
        </w:rPr>
        <w:t>台账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仿宋" w:cs="Times New Roman"/>
          <w:sz w:val="32"/>
          <w:szCs w:val="32"/>
        </w:rPr>
        <w:t>；突出做好来访接待，权益保障工作，退役军人信访接待稳步推进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，争取达到零上访</w:t>
      </w:r>
      <w:r>
        <w:rPr>
          <w:rFonts w:hint="eastAsia" w:ascii="Times New Roman" w:hAnsi="Times New Roman" w:eastAsia="仿宋" w:cs="Times New Roman"/>
          <w:sz w:val="32"/>
          <w:szCs w:val="32"/>
        </w:rPr>
        <w:t>，加大政策欠账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</w:t>
      </w:r>
      <w:r>
        <w:rPr>
          <w:rFonts w:hint="eastAsia" w:ascii="Times New Roman" w:hAnsi="Times New Roman" w:eastAsia="仿宋" w:cs="Times New Roman"/>
          <w:sz w:val="32"/>
          <w:szCs w:val="32"/>
        </w:rPr>
        <w:t>工作，保障退役军人合法权益；做好退役军人就业创业工作，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保障不超过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150人进行职业技能教育培训，培训合格率达到95%以上；开展</w:t>
      </w:r>
      <w:r>
        <w:rPr>
          <w:rFonts w:hint="eastAsia" w:ascii="Times New Roman" w:hAnsi="Times New Roman" w:eastAsia="仿宋" w:cs="Times New Roman"/>
          <w:sz w:val="32"/>
          <w:szCs w:val="32"/>
        </w:rPr>
        <w:t>党建工作，提升退役军人党员教育管理水平，推进思想政治教育；救助困难退役军人；推行“阳光安置”政策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安置率达到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95%以上</w:t>
      </w:r>
      <w:r>
        <w:rPr>
          <w:rFonts w:hint="eastAsia" w:ascii="Times New Roman" w:hAnsi="Times New Roman" w:eastAsia="仿宋" w:cs="Times New Roman"/>
          <w:sz w:val="32"/>
          <w:szCs w:val="32"/>
        </w:rPr>
        <w:t>。推进光荣院，烈士陵园环境提升，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“两节”对各类优抚对象、驻藁部队走访慰问，解决退役军人生活困难，</w:t>
      </w:r>
      <w:r>
        <w:rPr>
          <w:rFonts w:hint="eastAsia" w:ascii="Times New Roman" w:hAnsi="Times New Roman" w:eastAsia="仿宋" w:cs="Times New Roman"/>
          <w:sz w:val="32"/>
          <w:szCs w:val="32"/>
        </w:rPr>
        <w:t>营造拥军优属的社会氛围。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与</w:t>
      </w:r>
      <w:r>
        <w:rPr>
          <w:rFonts w:hint="eastAsia" w:ascii="仿宋" w:hAnsi="仿宋" w:eastAsia="仿宋" w:cs="仿宋"/>
          <w:sz w:val="32"/>
          <w:szCs w:val="32"/>
        </w:rPr>
        <w:t>年初绩效目标设定质量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进行对比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我单部门设置的数量指标、质量指标、成本指标、社会效益指标、可持续影响指标等绩效目标均已完成，并且</w:t>
      </w:r>
      <w:r>
        <w:rPr>
          <w:rFonts w:hint="eastAsia" w:ascii="仿宋" w:hAnsi="仿宋" w:eastAsia="仿宋" w:cs="仿宋"/>
          <w:sz w:val="32"/>
          <w:szCs w:val="32"/>
        </w:rPr>
        <w:t>绩效目标设定清晰准确，全面完整、科学合理，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涉及产出指标、效益指标、满意度指标等，</w:t>
      </w:r>
      <w:r>
        <w:rPr>
          <w:rFonts w:hint="eastAsia" w:ascii="仿宋" w:hAnsi="仿宋" w:eastAsia="仿宋" w:cs="仿宋"/>
          <w:sz w:val="32"/>
          <w:szCs w:val="32"/>
        </w:rPr>
        <w:t>绩效标准恰当适宜、易于评价。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部门整体支出绩效目标实现情况及指标分析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lang w:val="en-US" w:eastAsia="zh-CN"/>
        </w:rPr>
        <w:t>我部门涉及专项项目共计76个，包括上年支出为零项目1个预算金额为16156.80万元，支出15467.29万元，执行率95.73%，达到年初目标。其中有关优抚对象抚恤补助、义务兵优待金、残疾人护理费、双拥慰问、医疗补助等项目34个，预算金额7841.13万元，支出7252.01万元，执行率92.49%；关于军转干部解困资金、退役士兵自主就业及自谋职业一次性经济补</w:t>
      </w:r>
      <w:r>
        <w:rPr>
          <w:rFonts w:hint="eastAsia" w:ascii="仿宋_GB2312" w:hAnsi="仿宋_GB2312" w:eastAsia="仿宋_GB2312" w:cs="Times New Roman"/>
          <w:color w:val="000000"/>
          <w:kern w:val="0"/>
          <w:sz w:val="32"/>
          <w:szCs w:val="32"/>
          <w:lang w:val="en-US" w:eastAsia="zh-CN"/>
        </w:rPr>
        <w:t>助、退役安置补助经费等项目12个，预算金额1081.62万元，支出1044.38万元</w:t>
      </w:r>
      <w:r>
        <w:rPr>
          <w:rFonts w:hint="eastAsia" w:ascii="仿宋_GB2312" w:hAnsi="仿宋_GB2312" w:eastAsia="仿宋_GB2312"/>
          <w:color w:val="000000"/>
          <w:kern w:val="0"/>
          <w:sz w:val="32"/>
          <w:szCs w:val="32"/>
          <w:lang w:val="en-US" w:eastAsia="zh-CN"/>
        </w:rPr>
        <w:t>，执行率96.56%；军队离退休人员经费、无军籍职工地方性津贴补贴等专项9个，预算金额458.47万元，支出395.31万元，执行率86.22%；退役士兵落实政策资金等项目4个，预算金额648.8，支出648.8万元，执行率100%；荣军公司管理退役人员再就业资金等专项4个，预算金额5902.6万元，支出5902.6万元，执行率100%；自主就业退役士兵教育培训经费等专项2个，预算金额9.112万元，支出9.112万元，执行率100%；陵园日常维护经费项目1个；光荣院运行经费等专项2个；其他专项资金8个，执行率均达到100%。无存在问题，评价等级为优秀。</w:t>
      </w: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评价结论和评价等级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我部门全年项目包括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76项，其总体绩效目标为</w:t>
      </w:r>
      <w:r>
        <w:rPr>
          <w:rFonts w:hint="eastAsia" w:ascii="Times New Roman" w:hAnsi="Times New Roman" w:eastAsia="仿宋" w:cs="Times New Roman"/>
          <w:sz w:val="32"/>
          <w:szCs w:val="32"/>
        </w:rPr>
        <w:t>建立健全各级退役军人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就业、退役军人信息保障、党员管理</w:t>
      </w:r>
      <w:r>
        <w:rPr>
          <w:rFonts w:hint="eastAsia" w:ascii="Times New Roman" w:hAnsi="Times New Roman" w:eastAsia="仿宋" w:cs="Times New Roman"/>
          <w:sz w:val="32"/>
          <w:szCs w:val="32"/>
        </w:rPr>
        <w:t>台账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仿宋" w:cs="Times New Roman"/>
          <w:sz w:val="32"/>
          <w:szCs w:val="32"/>
        </w:rPr>
        <w:t>；突出做好来访接待，权益保障工作，退役军人信访接待稳步推进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，争取达到零上访</w:t>
      </w:r>
      <w:r>
        <w:rPr>
          <w:rFonts w:hint="eastAsia" w:ascii="Times New Roman" w:hAnsi="Times New Roman" w:eastAsia="仿宋" w:cs="Times New Roman"/>
          <w:sz w:val="32"/>
          <w:szCs w:val="32"/>
        </w:rPr>
        <w:t>，加大政策欠账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</w:t>
      </w:r>
      <w:r>
        <w:rPr>
          <w:rFonts w:hint="eastAsia" w:ascii="Times New Roman" w:hAnsi="Times New Roman" w:eastAsia="仿宋" w:cs="Times New Roman"/>
          <w:sz w:val="32"/>
          <w:szCs w:val="32"/>
        </w:rPr>
        <w:t>工作，保障退役军人合法权益；做好退役军人就业创业工作，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保障不超过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150人进行职业技能教育培训，培训合格率达到95%以上；开展</w:t>
      </w:r>
      <w:r>
        <w:rPr>
          <w:rFonts w:hint="eastAsia" w:ascii="Times New Roman" w:hAnsi="Times New Roman" w:eastAsia="仿宋" w:cs="Times New Roman"/>
          <w:sz w:val="32"/>
          <w:szCs w:val="32"/>
        </w:rPr>
        <w:t>党建工作，提升退役军人党员教育管理水平，推进思想政治教育；救助困难退役军人；推行“阳光安置”政策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安置率达到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95%以上</w:t>
      </w:r>
      <w:r>
        <w:rPr>
          <w:rFonts w:hint="eastAsia" w:ascii="Times New Roman" w:hAnsi="Times New Roman" w:eastAsia="仿宋" w:cs="Times New Roman"/>
          <w:sz w:val="32"/>
          <w:szCs w:val="32"/>
        </w:rPr>
        <w:t>。推进光荣院，烈士陵园环境提升，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“两节”对各类优抚对象、驻藁部队走访慰问，解决退役军人生活困难，</w:t>
      </w:r>
      <w:r>
        <w:rPr>
          <w:rFonts w:hint="eastAsia" w:ascii="Times New Roman" w:hAnsi="Times New Roman" w:eastAsia="仿宋" w:cs="Times New Roman"/>
          <w:sz w:val="32"/>
          <w:szCs w:val="32"/>
        </w:rPr>
        <w:t>营造拥军优属的社会氛围。</w:t>
      </w:r>
      <w:r>
        <w:rPr>
          <w:rFonts w:hint="eastAsia" w:ascii="Times New Roman" w:hAnsi="Times New Roman" w:eastAsia="仿宋" w:cs="Times New Roman"/>
          <w:sz w:val="32"/>
          <w:szCs w:val="32"/>
          <w:lang w:eastAsia="zh-CN"/>
        </w:rPr>
        <w:t>数量指标为全区优抚对象人数及符合相关政策退役军人人数，已全部保障，质量指标为资金应发放额占总金额比例，此项目标已达成，资金全额发放，所占比例</w:t>
      </w:r>
      <w:r>
        <w:rPr>
          <w:rFonts w:hint="eastAsia" w:ascii="Times New Roman" w:hAnsi="Times New Roman" w:eastAsia="仿宋" w:cs="Times New Roman"/>
          <w:sz w:val="32"/>
          <w:szCs w:val="32"/>
          <w:lang w:val="en-US" w:eastAsia="zh-CN"/>
        </w:rPr>
        <w:t>100%，时效指标为资金发放时间，已全在时间节点内全部发放，成本指标为预算金额数，小于等于全年预算数，严格控制成本，社会效益指标为保障退役军人合法权益，营造爱国拥军社会氛围，此项目标完成率100%，服务对象满意度达到90%以上。部门综合得分98分，评价等级优秀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、整改措</w:t>
      </w:r>
      <w:r>
        <w:rPr>
          <w:rFonts w:hint="eastAsia" w:ascii="黑体" w:hAnsi="黑体" w:eastAsia="黑体" w:cs="黑体"/>
          <w:sz w:val="32"/>
          <w:szCs w:val="32"/>
        </w:rPr>
        <w:t>施及结果应用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目前，我部门无存在问题。下一步工作将继续健全绩效自评制度，落实相关政策，与各科室及时沟通，掌握绩效自评最新工作进程，严格按照时间节点上报。并根据相关业务要求，及时调整项目设立，优化资金用途，提高资金利用率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1"/>
        </w:numPr>
        <w:wordWrap/>
        <w:adjustRightInd/>
        <w:snapToGrid w:val="0"/>
        <w:spacing w:line="560" w:lineRule="exact"/>
        <w:ind w:left="-10" w:leftChars="0" w:right="0" w:firstLine="640" w:firstLineChars="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评价工作组人员名单及签字</w:t>
      </w: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widowControl w:val="0"/>
        <w:numPr>
          <w:numId w:val="0"/>
        </w:numPr>
        <w:wordWrap/>
        <w:adjustRightInd/>
        <w:snapToGrid w:val="0"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tbl>
      <w:tblPr>
        <w:tblStyle w:val="5"/>
        <w:tblW w:w="876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6"/>
        <w:gridCol w:w="1550"/>
        <w:gridCol w:w="2867"/>
        <w:gridCol w:w="1820"/>
        <w:gridCol w:w="13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00" w:firstLineChars="100"/>
              <w:jc w:val="both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1550" w:type="dxa"/>
          </w:tcPr>
          <w:p>
            <w:pPr>
              <w:adjustRightInd w:val="0"/>
              <w:snapToGrid w:val="0"/>
              <w:spacing w:line="360" w:lineRule="auto"/>
              <w:ind w:firstLine="300" w:firstLineChars="100"/>
              <w:jc w:val="both"/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姓名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ind w:firstLine="600" w:firstLineChars="200"/>
              <w:jc w:val="both"/>
              <w:rPr>
                <w:rFonts w:hint="default" w:ascii="仿宋_GB2312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eastAsia="仿宋_GB2312"/>
                <w:sz w:val="30"/>
                <w:szCs w:val="30"/>
                <w:lang w:val="en-US" w:eastAsia="zh-CN"/>
              </w:rPr>
              <w:t>工作单位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职务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" w:hRule="atLeast"/>
        </w:trPr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55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倪建青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局长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苏灿辉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办公室主任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  <w:vAlign w:val="top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李静</w:t>
            </w:r>
          </w:p>
        </w:tc>
        <w:tc>
          <w:tcPr>
            <w:tcW w:w="2867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退役军人事务局</w:t>
            </w:r>
          </w:p>
        </w:tc>
        <w:tc>
          <w:tcPr>
            <w:tcW w:w="182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股长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36" w:type="dxa"/>
          </w:tcPr>
          <w:p>
            <w:pPr>
              <w:adjustRightInd w:val="0"/>
              <w:snapToGrid w:val="0"/>
              <w:spacing w:line="360" w:lineRule="auto"/>
              <w:ind w:firstLine="320" w:firstLineChars="100"/>
              <w:jc w:val="both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550" w:type="dxa"/>
            <w:vAlign w:val="top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徐文静</w:t>
            </w:r>
          </w:p>
        </w:tc>
        <w:tc>
          <w:tcPr>
            <w:tcW w:w="2867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退役军人服务中心</w:t>
            </w:r>
          </w:p>
        </w:tc>
        <w:tc>
          <w:tcPr>
            <w:tcW w:w="1820" w:type="dxa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职员</w:t>
            </w:r>
          </w:p>
        </w:tc>
        <w:tc>
          <w:tcPr>
            <w:tcW w:w="1396" w:type="dxa"/>
          </w:tcPr>
          <w:p>
            <w:pPr>
              <w:adjustRightInd w:val="0"/>
              <w:snapToGrid w:val="0"/>
              <w:spacing w:line="360" w:lineRule="auto"/>
              <w:ind w:firstLine="640" w:firstLineChars="200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left="630" w:leftChars="0"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9F1EC4"/>
    <w:multiLevelType w:val="singleLevel"/>
    <w:tmpl w:val="B79F1EC4"/>
    <w:lvl w:ilvl="0" w:tentative="0">
      <w:start w:val="3"/>
      <w:numFmt w:val="chineseCounting"/>
      <w:suff w:val="nothing"/>
      <w:lvlText w:val="%1、"/>
      <w:lvlJc w:val="left"/>
      <w:pPr>
        <w:ind w:left="-1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zY2U4OWFkYTNkODdmODNiMDE0NzJkMWFlMjVlYmI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1D4810"/>
    <w:rsid w:val="055B525F"/>
    <w:rsid w:val="13B61930"/>
    <w:rsid w:val="1BAF1154"/>
    <w:rsid w:val="1C655171"/>
    <w:rsid w:val="20276775"/>
    <w:rsid w:val="23343D01"/>
    <w:rsid w:val="3AEF6FE7"/>
    <w:rsid w:val="493B718D"/>
    <w:rsid w:val="53A42ADD"/>
    <w:rsid w:val="5C4A315B"/>
    <w:rsid w:val="661D3074"/>
    <w:rsid w:val="6BDE7164"/>
    <w:rsid w:val="73FF6D5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0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11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6</Pages>
  <Words>2493</Words>
  <Characters>2660</Characters>
  <Lines>3</Lines>
  <Paragraphs>1</Paragraphs>
  <TotalTime>5</TotalTime>
  <ScaleCrop>false</ScaleCrop>
  <LinksUpToDate>false</LinksUpToDate>
  <CharactersWithSpaces>2662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WPS_1630543100</cp:lastModifiedBy>
  <cp:lastPrinted>2023-04-17T02:32:24Z</cp:lastPrinted>
  <dcterms:modified xsi:type="dcterms:W3CDTF">2023-04-17T02:34:11Z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AB77BE4222D2434FA32D76DDE2B73959</vt:lpwstr>
  </property>
</Properties>
</file>