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1186" w:bottom="0" w:left="0" w:header="851" w:footer="992" w:gutter="0"/>
          <w:cols w:space="425" w:num="1"/>
          <w:titlePg/>
          <w:docGrid w:type="lines" w:linePitch="312" w:charSpace="0"/>
        </w:sectPr>
      </w:pPr>
      <w:r>
        <mc:AlternateContent>
          <mc:Choice Requires="wps">
            <w:drawing>
              <wp:anchor distT="0" distB="0" distL="114300" distR="114300" simplePos="0" relativeHeight="251666432"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6432;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3360;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848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745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4384"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4384;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950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697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5408;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hd w:val="clear"/>
        <w:snapToGrid w:val="0"/>
        <w:jc w:val="cente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yellow"/>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石家庄市藁城区退役军人事务局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numPr>
          <w:ilvl w:val="0"/>
          <w:numId w:val="1"/>
        </w:numPr>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机构设置</w:t>
      </w:r>
    </w:p>
    <w:p>
      <w:pPr>
        <w:widowControl/>
        <w:numPr>
          <w:ilvl w:val="0"/>
          <w:numId w:val="0"/>
        </w:numPr>
        <w:spacing w:after="160" w:line="580" w:lineRule="exact"/>
        <w:rPr>
          <w:rFonts w:ascii="Times New Roman" w:hAnsi="Times New Roman" w:eastAsia="黑体" w:cs="Times New Roman"/>
          <w:sz w:val="32"/>
          <w:szCs w:val="32"/>
        </w:rPr>
      </w:pPr>
      <w:r>
        <w:rPr>
          <w:rFonts w:hint="eastAsia" w:ascii="Times New Roman" w:hAnsi="Times New Roman" w:eastAsia="仿宋_GB2312" w:cs="Times New Roman"/>
          <w:sz w:val="32"/>
          <w:szCs w:val="32"/>
          <w:lang w:val="en-US" w:eastAsia="zh-CN"/>
        </w:rPr>
        <w:t xml:space="preserve">  </w:t>
      </w: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2"/>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spacing w:line="580" w:lineRule="exact"/>
        <w:ind w:firstLine="420" w:firstLineChars="200"/>
        <w:rPr>
          <w:rFonts w:ascii="仿宋" w:hAnsi="仿宋" w:eastAsia="仿宋" w:cs="仿宋"/>
          <w:sz w:val="32"/>
          <w:szCs w:val="32"/>
        </w:rPr>
      </w:pPr>
      <w:r>
        <w:rPr>
          <w:rFonts w:hint="eastAsia"/>
          <w:lang w:val="en-US" w:eastAsia="zh-CN"/>
        </w:rPr>
        <w:t xml:space="preserve">  </w:t>
      </w:r>
      <w:r>
        <w:rPr>
          <w:rFonts w:hint="eastAsia" w:ascii="仿宋" w:hAnsi="仿宋" w:eastAsia="仿宋" w:cs="仿宋"/>
          <w:sz w:val="32"/>
          <w:szCs w:val="32"/>
          <w:lang w:val="en-US" w:eastAsia="zh-CN"/>
        </w:rPr>
        <w:t>(</w:t>
      </w:r>
      <w:r>
        <w:rPr>
          <w:rFonts w:hint="eastAsia" w:ascii="仿宋" w:hAnsi="仿宋" w:eastAsia="仿宋" w:cs="仿宋"/>
          <w:sz w:val="32"/>
          <w:szCs w:val="32"/>
        </w:rPr>
        <w:t>一）贯彻落实退役军人思想政治、管理保障和安置优抚等工作法规、政府规章，褒扬彰显退役军人为党、国家和人民牺牲奉献的精神风范和价值导向。</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（二）负责军队转业干部、复员干部、离退休干部、退役士兵、符合条件消防员和无军籍退休退职职工的移交安置工作和自主择业、就业退役军人服务管理工作。</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（三）组织指导退役军人教育培训工作，协调扶持退役军人和随军随调家属就业创业。</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（四）会同有关部门制定全区退役军人特殊保障政策并组织落实；组织拟订部分企业中军队转业干部解困政策。</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（五）协调落实移交地方的离退休军人、符合条件的其他退役军人和无军籍退休退职职工的住房保障工作，以及退役军人医疗保障、社会保险等待遇保障工作。</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（六）负责伤病残退役军人服务管理和抚恤工作，拟订有关退役军人医疗、疗养、养老等机构的规划并组织实施；承担不适宜继续服役的伤病残军人相关工作；负责军供服务保障工作。</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pPr>
        <w:spacing w:line="580" w:lineRule="exact"/>
        <w:ind w:firstLine="640"/>
        <w:rPr>
          <w:rFonts w:ascii="仿宋" w:hAnsi="仿宋" w:eastAsia="仿宋" w:cs="仿宋"/>
          <w:sz w:val="32"/>
          <w:szCs w:val="32"/>
        </w:rPr>
      </w:pPr>
      <w:r>
        <w:rPr>
          <w:rFonts w:hint="eastAsia" w:ascii="仿宋" w:hAnsi="仿宋" w:eastAsia="仿宋" w:cs="仿宋"/>
          <w:sz w:val="32"/>
          <w:szCs w:val="32"/>
        </w:rPr>
        <w:t>（九）指导并监督检查退役军人相关法律法规和政策措施的落实，组织开展退役军人权益维护和有关人员的帮扶援助工作。</w:t>
      </w:r>
    </w:p>
    <w:p>
      <w:pPr>
        <w:spacing w:line="580" w:lineRule="exact"/>
        <w:ind w:firstLine="640"/>
        <w:rPr>
          <w:rFonts w:hint="eastAsia" w:ascii="仿宋" w:hAnsi="仿宋" w:eastAsia="仿宋" w:cs="Arial"/>
          <w:color w:val="000000"/>
          <w:spacing w:val="14"/>
          <w:sz w:val="32"/>
          <w:szCs w:val="32"/>
        </w:rPr>
      </w:pPr>
      <w:r>
        <w:rPr>
          <w:rFonts w:hint="eastAsia" w:ascii="仿宋" w:hAnsi="仿宋" w:eastAsia="仿宋" w:cs="仿宋"/>
          <w:sz w:val="32"/>
          <w:szCs w:val="32"/>
        </w:rPr>
        <w:t>（十）完成区委、区政府交办的其他任务。</w:t>
      </w:r>
    </w:p>
    <w:p>
      <w:pPr>
        <w:numPr>
          <w:ilvl w:val="0"/>
          <w:numId w:val="0"/>
        </w:numPr>
        <w:rPr>
          <w:rFonts w:hint="default" w:eastAsiaTheme="minorEastAsia"/>
          <w:lang w:val="en-US" w:eastAsia="zh-CN"/>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4</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4343"/>
        <w:gridCol w:w="1793"/>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77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34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79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6" w:hRule="atLeast"/>
          <w:jc w:val="center"/>
        </w:trPr>
        <w:tc>
          <w:tcPr>
            <w:tcW w:w="779" w:type="dxa"/>
          </w:tcPr>
          <w:p>
            <w:pPr>
              <w:spacing w:line="560" w:lineRule="exact"/>
              <w:jc w:val="both"/>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343" w:type="dxa"/>
            <w:vAlign w:val="top"/>
          </w:tcPr>
          <w:p>
            <w:pPr>
              <w:jc w:val="left"/>
              <w:rPr>
                <w:rFonts w:ascii="仿宋_GB2312" w:hAnsi="Calibri" w:eastAsia="仿宋_GB2312" w:cs="ArialUnicodeMS"/>
                <w:kern w:val="0"/>
                <w:sz w:val="28"/>
                <w:szCs w:val="28"/>
              </w:rPr>
            </w:pPr>
            <w:r>
              <w:rPr>
                <w:rFonts w:hint="eastAsia" w:ascii="宋体" w:hAnsi="宋体"/>
                <w:sz w:val="24"/>
              </w:rPr>
              <w:t>石家庄市藁城区退役军人事务局</w:t>
            </w:r>
          </w:p>
        </w:tc>
        <w:tc>
          <w:tcPr>
            <w:tcW w:w="1793" w:type="dxa"/>
            <w:vAlign w:val="top"/>
          </w:tcPr>
          <w:p>
            <w:pPr>
              <w:jc w:val="left"/>
              <w:rPr>
                <w:rFonts w:ascii="仿宋_GB2312" w:hAnsi="Calibri" w:eastAsia="仿宋_GB2312" w:cs="ArialUnicodeMS"/>
                <w:kern w:val="0"/>
                <w:sz w:val="28"/>
                <w:szCs w:val="28"/>
              </w:rPr>
            </w:pPr>
            <w:r>
              <w:rPr>
                <w:rFonts w:hint="eastAsia" w:ascii="宋体" w:hAnsi="宋体"/>
                <w:sz w:val="24"/>
              </w:rPr>
              <w:t>行政</w:t>
            </w:r>
          </w:p>
        </w:tc>
        <w:tc>
          <w:tcPr>
            <w:tcW w:w="2665" w:type="dxa"/>
            <w:vAlign w:val="top"/>
          </w:tcPr>
          <w:p>
            <w:pPr>
              <w:jc w:val="left"/>
              <w:rPr>
                <w:rFonts w:ascii="仿宋_GB2312" w:hAnsi="Calibri" w:eastAsia="仿宋_GB2312" w:cs="ArialUnicodeMS"/>
                <w:kern w:val="0"/>
                <w:sz w:val="28"/>
                <w:szCs w:val="28"/>
              </w:rPr>
            </w:pPr>
            <w:r>
              <w:rPr>
                <w:rFonts w:hint="eastAsia" w:ascii="宋体" w:hAnsi="宋体"/>
                <w:sz w:val="24"/>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79" w:type="dxa"/>
          </w:tcPr>
          <w:p>
            <w:pPr>
              <w:jc w:val="left"/>
              <w:rPr>
                <w:rFonts w:hint="eastAsia" w:ascii="宋体" w:hAnsi="宋体"/>
                <w:sz w:val="24"/>
              </w:rPr>
            </w:pPr>
            <w:r>
              <w:rPr>
                <w:rFonts w:hint="eastAsia" w:ascii="宋体" w:hAnsi="宋体"/>
                <w:sz w:val="24"/>
              </w:rPr>
              <w:t>2</w:t>
            </w:r>
          </w:p>
        </w:tc>
        <w:tc>
          <w:tcPr>
            <w:tcW w:w="4343" w:type="dxa"/>
            <w:vAlign w:val="top"/>
          </w:tcPr>
          <w:p>
            <w:pPr>
              <w:jc w:val="left"/>
              <w:rPr>
                <w:rFonts w:hint="eastAsia" w:ascii="宋体" w:hAnsi="宋体"/>
                <w:sz w:val="24"/>
              </w:rPr>
            </w:pPr>
            <w:r>
              <w:rPr>
                <w:rFonts w:hint="eastAsia" w:ascii="宋体" w:hAnsi="宋体"/>
                <w:sz w:val="24"/>
              </w:rPr>
              <w:t>石家庄市藁城区退役军人管理服务中心</w:t>
            </w:r>
          </w:p>
        </w:tc>
        <w:tc>
          <w:tcPr>
            <w:tcW w:w="1793" w:type="dxa"/>
            <w:vAlign w:val="top"/>
          </w:tcPr>
          <w:p>
            <w:pPr>
              <w:jc w:val="left"/>
              <w:rPr>
                <w:rFonts w:ascii="仿宋_GB2312" w:hAnsi="Calibri" w:eastAsia="仿宋_GB2312" w:cs="ArialUnicodeMS"/>
                <w:kern w:val="0"/>
                <w:sz w:val="28"/>
                <w:szCs w:val="28"/>
              </w:rPr>
            </w:pPr>
            <w:r>
              <w:rPr>
                <w:rFonts w:hint="eastAsia" w:ascii="宋体" w:hAnsi="宋体"/>
                <w:sz w:val="24"/>
              </w:rPr>
              <w:t>事业</w:t>
            </w:r>
          </w:p>
        </w:tc>
        <w:tc>
          <w:tcPr>
            <w:tcW w:w="2665" w:type="dxa"/>
            <w:vAlign w:val="top"/>
          </w:tcPr>
          <w:p>
            <w:pPr>
              <w:jc w:val="left"/>
              <w:rPr>
                <w:rFonts w:hint="eastAsia" w:ascii="宋体" w:hAnsi="宋体"/>
                <w:sz w:val="24"/>
              </w:rPr>
            </w:pPr>
            <w:r>
              <w:rPr>
                <w:rFonts w:hint="eastAsia" w:ascii="宋体" w:hAnsi="宋体"/>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79" w:type="dxa"/>
          </w:tcPr>
          <w:p>
            <w:pPr>
              <w:jc w:val="left"/>
              <w:rPr>
                <w:rFonts w:hint="eastAsia" w:ascii="宋体" w:hAnsi="宋体"/>
                <w:sz w:val="24"/>
              </w:rPr>
            </w:pPr>
            <w:r>
              <w:rPr>
                <w:rFonts w:hint="eastAsia" w:ascii="宋体" w:hAnsi="宋体"/>
                <w:sz w:val="24"/>
              </w:rPr>
              <w:t>3</w:t>
            </w:r>
          </w:p>
        </w:tc>
        <w:tc>
          <w:tcPr>
            <w:tcW w:w="4343" w:type="dxa"/>
            <w:vAlign w:val="top"/>
          </w:tcPr>
          <w:p>
            <w:pPr>
              <w:jc w:val="left"/>
              <w:rPr>
                <w:rFonts w:hint="eastAsia" w:ascii="宋体" w:hAnsi="宋体"/>
                <w:sz w:val="24"/>
              </w:rPr>
            </w:pPr>
            <w:r>
              <w:rPr>
                <w:rFonts w:hint="eastAsia" w:ascii="宋体" w:hAnsi="宋体"/>
                <w:sz w:val="24"/>
              </w:rPr>
              <w:t>石家庄市藁城区光荣院</w:t>
            </w:r>
          </w:p>
        </w:tc>
        <w:tc>
          <w:tcPr>
            <w:tcW w:w="1793" w:type="dxa"/>
            <w:vAlign w:val="top"/>
          </w:tcPr>
          <w:p>
            <w:pPr>
              <w:jc w:val="left"/>
              <w:rPr>
                <w:rFonts w:ascii="仿宋_GB2312" w:hAnsi="Calibri" w:eastAsia="仿宋_GB2312" w:cs="ArialUnicodeMS"/>
                <w:kern w:val="0"/>
                <w:sz w:val="28"/>
                <w:szCs w:val="28"/>
              </w:rPr>
            </w:pPr>
            <w:r>
              <w:rPr>
                <w:rFonts w:hint="eastAsia" w:ascii="宋体" w:hAnsi="宋体"/>
                <w:sz w:val="24"/>
              </w:rPr>
              <w:t>事业</w:t>
            </w:r>
          </w:p>
        </w:tc>
        <w:tc>
          <w:tcPr>
            <w:tcW w:w="2665" w:type="dxa"/>
            <w:vAlign w:val="top"/>
          </w:tcPr>
          <w:p>
            <w:pPr>
              <w:jc w:val="left"/>
              <w:rPr>
                <w:rFonts w:hint="eastAsia" w:ascii="宋体" w:hAnsi="宋体"/>
                <w:sz w:val="24"/>
              </w:rPr>
            </w:pPr>
            <w:r>
              <w:rPr>
                <w:rFonts w:hint="eastAsia" w:ascii="宋体" w:hAnsi="宋体"/>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779" w:type="dxa"/>
            <w:tcBorders>
              <w:bottom w:val="single" w:color="auto" w:sz="4" w:space="0"/>
            </w:tcBorders>
          </w:tcPr>
          <w:p>
            <w:pPr>
              <w:jc w:val="left"/>
              <w:rPr>
                <w:rFonts w:hint="eastAsia" w:ascii="宋体" w:hAnsi="宋体"/>
                <w:sz w:val="24"/>
                <w:lang w:eastAsia="zh-CN"/>
              </w:rPr>
            </w:pPr>
            <w:r>
              <w:rPr>
                <w:rFonts w:hint="eastAsia" w:ascii="宋体" w:hAnsi="宋体"/>
                <w:sz w:val="24"/>
                <w:lang w:val="en-US" w:eastAsia="zh-CN"/>
              </w:rPr>
              <w:t>4</w:t>
            </w:r>
          </w:p>
        </w:tc>
        <w:tc>
          <w:tcPr>
            <w:tcW w:w="4343" w:type="dxa"/>
            <w:tcBorders>
              <w:bottom w:val="single" w:color="auto" w:sz="4" w:space="0"/>
            </w:tcBorders>
            <w:vAlign w:val="top"/>
          </w:tcPr>
          <w:p>
            <w:pPr>
              <w:jc w:val="left"/>
              <w:rPr>
                <w:rFonts w:hint="eastAsia" w:ascii="宋体" w:hAnsi="宋体"/>
                <w:sz w:val="24"/>
              </w:rPr>
            </w:pPr>
            <w:r>
              <w:rPr>
                <w:rFonts w:hint="eastAsia" w:ascii="宋体" w:hAnsi="宋体"/>
                <w:sz w:val="24"/>
              </w:rPr>
              <w:t>石家庄市藁城区烈士陵园</w:t>
            </w:r>
          </w:p>
        </w:tc>
        <w:tc>
          <w:tcPr>
            <w:tcW w:w="1793" w:type="dxa"/>
            <w:tcBorders>
              <w:bottom w:val="single" w:color="auto" w:sz="4" w:space="0"/>
            </w:tcBorders>
            <w:vAlign w:val="top"/>
          </w:tcPr>
          <w:p>
            <w:pPr>
              <w:jc w:val="left"/>
              <w:rPr>
                <w:rFonts w:ascii="仿宋_GB2312" w:hAnsi="Calibri" w:eastAsia="仿宋_GB2312" w:cs="ArialUnicodeMS"/>
                <w:kern w:val="0"/>
                <w:sz w:val="28"/>
                <w:szCs w:val="28"/>
              </w:rPr>
            </w:pPr>
            <w:r>
              <w:rPr>
                <w:rFonts w:hint="eastAsia" w:ascii="宋体" w:hAnsi="宋体"/>
                <w:sz w:val="24"/>
              </w:rPr>
              <w:t>事业</w:t>
            </w:r>
          </w:p>
        </w:tc>
        <w:tc>
          <w:tcPr>
            <w:tcW w:w="2665" w:type="dxa"/>
            <w:tcBorders>
              <w:bottom w:val="single" w:color="auto" w:sz="4" w:space="0"/>
            </w:tcBorders>
            <w:vAlign w:val="top"/>
          </w:tcPr>
          <w:p>
            <w:pPr>
              <w:jc w:val="left"/>
              <w:rPr>
                <w:rFonts w:hint="eastAsia" w:ascii="宋体" w:hAnsi="宋体"/>
                <w:sz w:val="24"/>
              </w:rPr>
            </w:pPr>
            <w:r>
              <w:rPr>
                <w:rFonts w:hint="eastAsia" w:ascii="宋体" w:hAnsi="宋体"/>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155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155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257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本部门2019年度收支总计（含结转和结余）17021.19万元。</w:t>
      </w:r>
      <w:r>
        <w:rPr>
          <w:rFonts w:hint="eastAsia" w:ascii="仿宋_GB2312" w:hAnsi="Times New Roman" w:eastAsia="仿宋_GB2312" w:cs="DengXian-Regular"/>
          <w:sz w:val="32"/>
          <w:szCs w:val="32"/>
          <w:lang w:val="en-US" w:eastAsia="zh-CN"/>
        </w:rPr>
        <w:t>本部门为2019年新成立单位无2018年决算，不能进行比较分析。</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本部门2019年度本年收入合计17021.19万元，其中：财政拨款收入16378.3</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96.22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上年结转结余642.84万元，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3.78</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76672" behindDoc="0" locked="0" layoutInCell="1" allowOverlap="1">
            <wp:simplePos x="0" y="0"/>
            <wp:positionH relativeFrom="column">
              <wp:posOffset>229870</wp:posOffset>
            </wp:positionH>
            <wp:positionV relativeFrom="paragraph">
              <wp:posOffset>163195</wp:posOffset>
            </wp:positionV>
            <wp:extent cx="4851400" cy="3361055"/>
            <wp:effectExtent l="4445" t="4445" r="20955" b="6350"/>
            <wp:wrapNone/>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sz w:val="32"/>
        </w:rPr>
        <mc:AlternateContent>
          <mc:Choice Requires="wps">
            <w:drawing>
              <wp:anchor distT="0" distB="0" distL="114300" distR="114300" simplePos="0" relativeHeight="251662336" behindDoc="0" locked="0" layoutInCell="1" allowOverlap="1">
                <wp:simplePos x="0" y="0"/>
                <wp:positionH relativeFrom="column">
                  <wp:posOffset>1166495</wp:posOffset>
                </wp:positionH>
                <wp:positionV relativeFrom="paragraph">
                  <wp:posOffset>257175</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174875" y="5272405"/>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91.85pt;margin-top:20.25pt;height:38.6pt;width:217.35pt;z-index:251662336;mso-width-relative:page;mso-height-relative:page;" fillcolor="#FFFFFF" filled="t" stroked="f" coordsize="21600,21600" o:gfxdata="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pVq9c1QAAAAoBAAAPAAAAAAAAAAEA&#10;IAAAACIAAABkcnMvZG93bnJldi54bWxQSwECFAAUAAAACACHTuJAbwJuU0sCAABeBAAADgAAAAAA&#10;AAABACAAAAAkAQAAZHJzL2Uyb0RvYy54bWxQSwUGAAAAAAYABgBZAQAA4Q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outlineLvl w:val="1"/>
        <w:rPr>
          <w:rFonts w:hint="eastAsia" w:ascii="仿宋_GB2312" w:hAnsi="Times New Roman" w:eastAsia="仿宋_GB2312" w:cs="DengXian-Regular"/>
          <w:sz w:val="32"/>
          <w:szCs w:val="32"/>
        </w:rPr>
      </w:pPr>
    </w:p>
    <w:p>
      <w:pPr>
        <w:tabs>
          <w:tab w:val="left" w:pos="3263"/>
          <w:tab w:val="center" w:pos="4482"/>
        </w:tabs>
        <w:adjustRightInd w:val="0"/>
        <w:snapToGrid w:val="0"/>
        <w:spacing w:after="160" w:line="560" w:lineRule="exact"/>
        <w:jc w:val="left"/>
        <w:rPr>
          <w:rFonts w:hint="eastAsia" w:ascii="仿宋_GB2312" w:hAnsi="Times New Roman" w:eastAsia="仿宋_GB2312" w:cs="DengXian-Regular"/>
          <w:sz w:val="28"/>
          <w:szCs w:val="28"/>
          <w:lang w:eastAsia="zh-CN"/>
        </w:rPr>
      </w:pPr>
      <w:r>
        <w:rPr>
          <w:rFonts w:hint="eastAsia" w:ascii="仿宋_GB2312" w:hAnsi="Times New Roman" w:eastAsia="仿宋_GB2312" w:cs="DengXian-Regular"/>
          <w:sz w:val="28"/>
          <w:szCs w:val="28"/>
          <w:lang w:eastAsia="zh-CN"/>
        </w:rPr>
        <w:tab/>
      </w:r>
    </w:p>
    <w:p>
      <w:pPr>
        <w:tabs>
          <w:tab w:val="left" w:pos="3263"/>
          <w:tab w:val="center" w:pos="4482"/>
        </w:tabs>
        <w:adjustRightInd w:val="0"/>
        <w:snapToGrid w:val="0"/>
        <w:spacing w:after="160" w:line="560" w:lineRule="exact"/>
        <w:jc w:val="left"/>
        <w:rPr>
          <w:rFonts w:hint="eastAsia" w:ascii="黑体" w:hAnsi="Calibri" w:eastAsia="黑体" w:cs="Times New Roman"/>
          <w:sz w:val="32"/>
          <w:szCs w:val="32"/>
        </w:rPr>
      </w:pPr>
      <w:r>
        <w:rPr>
          <w:rFonts w:hint="eastAsia" w:ascii="仿宋_GB2312" w:hAnsi="Times New Roman" w:eastAsia="仿宋_GB2312" w:cs="DengXian-Regular"/>
          <w:sz w:val="28"/>
          <w:szCs w:val="28"/>
          <w:lang w:eastAsia="zh-CN"/>
        </w:rPr>
        <w:tab/>
      </w:r>
      <w:r>
        <w:rPr>
          <w:rFonts w:hint="eastAsia" w:ascii="仿宋_GB2312" w:hAnsi="Times New Roman" w:eastAsia="仿宋_GB2312" w:cs="DengXian-Regular"/>
          <w:sz w:val="28"/>
          <w:szCs w:val="28"/>
        </w:rPr>
        <w:t>图：收入构成情况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本部门2019年度本年支出合计16396.5</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万元，其中：项目支出16106.1</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98.23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其他</w:t>
      </w:r>
      <w:r>
        <w:rPr>
          <w:rFonts w:hint="eastAsia" w:ascii="仿宋_GB2312" w:hAnsi="Times New Roman" w:eastAsia="仿宋_GB2312" w:cs="DengXian-Regular"/>
          <w:sz w:val="32"/>
          <w:szCs w:val="32"/>
        </w:rPr>
        <w:t>支出122.69万元，占</w:t>
      </w:r>
      <w:r>
        <w:rPr>
          <w:rFonts w:hint="eastAsia" w:ascii="仿宋_GB2312" w:hAnsi="Times New Roman" w:eastAsia="仿宋_GB2312" w:cs="DengXian-Regular"/>
          <w:sz w:val="32"/>
          <w:szCs w:val="32"/>
          <w:lang w:val="en-US" w:eastAsia="zh-CN"/>
        </w:rPr>
        <w:t>0.75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卫生健康支出167.72万元，占1.02%。</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drawing>
          <wp:anchor distT="0" distB="0" distL="114300" distR="114300" simplePos="0" relativeHeight="251677696" behindDoc="1" locked="0" layoutInCell="1" allowOverlap="1">
            <wp:simplePos x="0" y="0"/>
            <wp:positionH relativeFrom="column">
              <wp:posOffset>-5715</wp:posOffset>
            </wp:positionH>
            <wp:positionV relativeFrom="paragraph">
              <wp:posOffset>304165</wp:posOffset>
            </wp:positionV>
            <wp:extent cx="5878830" cy="3607435"/>
            <wp:effectExtent l="4445" t="4445" r="22225" b="7620"/>
            <wp:wrapTight wrapText="bothSides">
              <wp:wrapPolygon>
                <wp:start x="-16" y="-27"/>
                <wp:lineTo x="-16" y="21532"/>
                <wp:lineTo x="21542" y="21532"/>
                <wp:lineTo x="21542" y="-27"/>
                <wp:lineTo x="-16" y="-27"/>
              </wp:wrapPolygon>
            </wp:wrapTight>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keepNext/>
        <w:keepLines/>
        <w:tabs>
          <w:tab w:val="left" w:pos="6758"/>
        </w:tab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tabs>
          <w:tab w:val="left" w:pos="6758"/>
        </w:tabs>
        <w:snapToGrid w:val="0"/>
        <w:spacing w:line="580" w:lineRule="exact"/>
        <w:outlineLvl w:val="1"/>
        <w:rPr>
          <w:rFonts w:ascii="黑体" w:hAnsi="Calibri" w:eastAsia="黑体" w:cs="Times New Roman"/>
          <w:b/>
          <w:bCs/>
          <w:sz w:val="32"/>
          <w:szCs w:val="32"/>
        </w:rPr>
      </w:pPr>
    </w:p>
    <w:p>
      <w:pPr>
        <w:keepNext/>
        <w:keepLines/>
        <w:tabs>
          <w:tab w:val="left" w:pos="6758"/>
        </w:tabs>
        <w:snapToGrid w:val="0"/>
        <w:spacing w:line="580" w:lineRule="exact"/>
        <w:outlineLvl w:val="1"/>
        <w:rPr>
          <w:rFonts w:ascii="黑体" w:hAnsi="Calibri" w:eastAsia="黑体" w:cs="Times New Roman"/>
          <w:b/>
          <w:bCs/>
          <w:sz w:val="32"/>
          <w:szCs w:val="32"/>
        </w:rPr>
      </w:pPr>
    </w:p>
    <w:p>
      <w:pPr>
        <w:keepNext/>
        <w:keepLines/>
        <w:tabs>
          <w:tab w:val="left" w:pos="6758"/>
        </w:tabs>
        <w:snapToGrid w:val="0"/>
        <w:spacing w:line="580" w:lineRule="exact"/>
        <w:outlineLvl w:val="1"/>
        <w:rPr>
          <w:rFonts w:ascii="黑体" w:hAnsi="Calibri" w:eastAsia="黑体" w:cs="Times New Roman"/>
          <w:b/>
          <w:bCs/>
          <w:sz w:val="32"/>
          <w:szCs w:val="32"/>
        </w:rPr>
      </w:pPr>
    </w:p>
    <w:p>
      <w:pPr>
        <w:keepNext/>
        <w:keepLines/>
        <w:tabs>
          <w:tab w:val="left" w:pos="6758"/>
        </w:tab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本部门2019年度形成的财政拨款收支均为一般公共预算财政拨款，其中本年收入16378.3</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2018年无法进行比较</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我部门为新成立部门</w:t>
      </w:r>
      <w:r>
        <w:rPr>
          <w:rFonts w:hint="eastAsia" w:ascii="仿宋_GB2312" w:hAnsi="Times New Roman" w:eastAsia="仿宋_GB2312" w:cs="DengXian-Regular"/>
          <w:sz w:val="32"/>
          <w:szCs w:val="32"/>
        </w:rPr>
        <w:t>；本年支出16396.5</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p>
    <w:p>
      <w:pPr>
        <w:snapToGrid w:val="0"/>
        <w:spacing w:line="580" w:lineRule="exact"/>
        <w:ind w:firstLine="640" w:firstLineChars="200"/>
        <w:rPr>
          <w:rFonts w:hint="eastAsia" w:ascii="仿宋_GB2312" w:hAnsi="Times New Roman" w:eastAsia="仿宋_GB2312" w:cs="DengXian-Regular"/>
          <w:sz w:val="32"/>
          <w:szCs w:val="32"/>
          <w:lang w:eastAsia="zh-CN"/>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r>
        <w:rPr>
          <w:rFonts w:hint="eastAsia" w:ascii="仿宋_GB2312" w:hAnsi="Times New Roman" w:eastAsia="仿宋_GB2312" w:cs="DengXian-Regular"/>
          <w:sz w:val="32"/>
          <w:szCs w:val="32"/>
        </w:rPr>
        <w:t>本部门2019年度一般公共预算财政拨款收入16378.3</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144.8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5069.81</w:t>
      </w:r>
      <w:r>
        <w:rPr>
          <w:rFonts w:hint="eastAsia" w:ascii="仿宋_GB2312" w:hAnsi="Times New Roman" w:eastAsia="仿宋_GB2312" w:cs="DengXian-Regular"/>
          <w:sz w:val="32"/>
          <w:szCs w:val="32"/>
        </w:rPr>
        <w:t>万元，决算数大于预算数</w:t>
      </w:r>
      <w:r>
        <w:rPr>
          <w:rFonts w:hint="eastAsia" w:ascii="仿宋_GB2312" w:hAnsi="Times New Roman" w:eastAsia="仿宋_GB2312" w:cs="DengXian-Regular"/>
          <w:sz w:val="32"/>
          <w:szCs w:val="32"/>
          <w:highlight w:val="none"/>
        </w:rPr>
        <w:t>主要原因是</w:t>
      </w:r>
      <w:r>
        <w:rPr>
          <w:rFonts w:hint="eastAsia" w:ascii="仿宋_GB2312" w:hAnsi="Times New Roman" w:eastAsia="仿宋_GB2312" w:cs="DengXian-Regular"/>
          <w:sz w:val="32"/>
          <w:szCs w:val="32"/>
          <w:highlight w:val="none"/>
          <w:lang w:val="en-US" w:eastAsia="zh-CN"/>
        </w:rPr>
        <w:t>追加了退役士兵落实政策资金</w:t>
      </w:r>
      <w:r>
        <w:rPr>
          <w:rFonts w:hint="eastAsia" w:ascii="仿宋_GB2312" w:hAnsi="Times New Roman" w:eastAsia="仿宋_GB2312" w:cs="DengXian-Regular"/>
          <w:sz w:val="32"/>
          <w:szCs w:val="32"/>
          <w:highlight w:val="none"/>
        </w:rPr>
        <w:t>；本年支出16396.5</w:t>
      </w:r>
      <w:r>
        <w:rPr>
          <w:rFonts w:hint="eastAsia" w:ascii="仿宋_GB2312" w:hAnsi="Times New Roman" w:eastAsia="仿宋_GB2312" w:cs="DengXian-Regular"/>
          <w:sz w:val="32"/>
          <w:szCs w:val="32"/>
          <w:highlight w:val="none"/>
          <w:lang w:val="en-US" w:eastAsia="zh-CN"/>
        </w:rPr>
        <w:t>9</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145</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5088.04</w:t>
      </w:r>
      <w:r>
        <w:rPr>
          <w:rFonts w:hint="eastAsia" w:ascii="仿宋_GB2312" w:hAnsi="Times New Roman" w:eastAsia="仿宋_GB2312" w:cs="DengXian-Regular"/>
          <w:sz w:val="32"/>
          <w:szCs w:val="32"/>
          <w:highlight w:val="none"/>
        </w:rPr>
        <w:t>万元，决算数大于预算数主要原因是主要是</w:t>
      </w:r>
      <w:r>
        <w:rPr>
          <w:rFonts w:hint="eastAsia" w:ascii="仿宋_GB2312" w:hAnsi="Times New Roman" w:eastAsia="仿宋_GB2312" w:cs="DengXian-Regular"/>
          <w:sz w:val="32"/>
          <w:szCs w:val="32"/>
          <w:highlight w:val="none"/>
          <w:lang w:val="en-US" w:eastAsia="zh-CN"/>
        </w:rPr>
        <w:t>退役士兵落实政策资金支出增加</w:t>
      </w:r>
      <w:r>
        <w:rPr>
          <w:rFonts w:hint="eastAsia" w:ascii="仿宋_GB2312" w:hAnsi="Times New Roman" w:eastAsia="仿宋_GB2312" w:cs="DengXian-Regular"/>
          <w:sz w:val="32"/>
          <w:szCs w:val="32"/>
          <w:highlight w:val="none"/>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r>
        <w:rPr>
          <w:rFonts w:hint="eastAsia" w:ascii="仿宋_GB2312" w:hAnsi="Times New Roman" w:eastAsia="仿宋_GB2312" w:cs="DengXian-Regular"/>
          <w:sz w:val="32"/>
          <w:szCs w:val="32"/>
          <w:highlight w:val="none"/>
          <w:lang w:eastAsia="zh-CN"/>
        </w:rPr>
        <w:drawing>
          <wp:anchor distT="0" distB="0" distL="114300" distR="114300" simplePos="0" relativeHeight="251678720" behindDoc="1" locked="0" layoutInCell="1" allowOverlap="1">
            <wp:simplePos x="0" y="0"/>
            <wp:positionH relativeFrom="column">
              <wp:posOffset>544195</wp:posOffset>
            </wp:positionH>
            <wp:positionV relativeFrom="paragraph">
              <wp:posOffset>181610</wp:posOffset>
            </wp:positionV>
            <wp:extent cx="4946650" cy="3847465"/>
            <wp:effectExtent l="4445" t="4445" r="20955" b="15240"/>
            <wp:wrapNone/>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财政拨款支出决算结构情况。</w:t>
      </w:r>
    </w:p>
    <w:p>
      <w:pPr>
        <w:numPr>
          <w:ilvl w:val="0"/>
          <w:numId w:val="0"/>
        </w:num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年度财政拨款支出16396.5</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（含上年结转资金）</w:t>
      </w:r>
      <w:r>
        <w:rPr>
          <w:rFonts w:hint="eastAsia" w:ascii="仿宋_GB2312" w:hAnsi="Times New Roman" w:eastAsia="仿宋_GB2312" w:cs="DengXian-Regular"/>
          <w:sz w:val="32"/>
          <w:szCs w:val="32"/>
        </w:rPr>
        <w:t>，主要用于以下方</w:t>
      </w:r>
      <w:r>
        <w:rPr>
          <w:rFonts w:hint="eastAsia" w:ascii="仿宋_GB2312" w:hAnsi="Times New Roman" w:eastAsia="仿宋_GB2312" w:cs="DengXian-Regular"/>
          <w:sz w:val="32"/>
          <w:szCs w:val="32"/>
          <w:shd w:val="clear"/>
        </w:rPr>
        <w:t>面</w:t>
      </w:r>
      <w:r>
        <w:rPr>
          <w:rFonts w:hint="eastAsia" w:ascii="仿宋_GB2312" w:hAnsi="Times New Roman" w:eastAsia="仿宋_GB2312" w:cs="DengXian-Regular"/>
          <w:sz w:val="32"/>
          <w:szCs w:val="32"/>
          <w:shd w:val="clear"/>
          <w:lang w:eastAsia="zh-CN"/>
        </w:rPr>
        <w:t>：</w:t>
      </w:r>
      <w:r>
        <w:rPr>
          <w:rFonts w:hint="eastAsia" w:ascii="仿宋_GB2312" w:hAnsi="Times New Roman" w:eastAsia="仿宋_GB2312" w:cs="DengXian-Regular"/>
          <w:sz w:val="32"/>
          <w:szCs w:val="32"/>
          <w:highlight w:val="none"/>
          <w:shd w:val="clear"/>
        </w:rPr>
        <w:t>社会保障和就业支出16106.1</w:t>
      </w:r>
      <w:r>
        <w:rPr>
          <w:rFonts w:hint="eastAsia" w:ascii="仿宋_GB2312" w:hAnsi="Times New Roman" w:eastAsia="仿宋_GB2312" w:cs="DengXian-Regular"/>
          <w:sz w:val="32"/>
          <w:szCs w:val="32"/>
          <w:highlight w:val="none"/>
          <w:shd w:val="clear"/>
          <w:lang w:val="en-US" w:eastAsia="zh-CN"/>
        </w:rPr>
        <w:t>8万元占94.62%；</w:t>
      </w:r>
      <w:r>
        <w:rPr>
          <w:rFonts w:hint="eastAsia" w:ascii="仿宋_GB2312" w:hAnsi="Times New Roman" w:eastAsia="仿宋_GB2312" w:cs="DengXian-Regular"/>
          <w:sz w:val="32"/>
          <w:szCs w:val="32"/>
          <w:lang w:val="en-US" w:eastAsia="zh-CN"/>
        </w:rPr>
        <w:t>卫生健康支出167.72万元，占1.02%；其他</w:t>
      </w:r>
      <w:r>
        <w:rPr>
          <w:rFonts w:hint="eastAsia" w:ascii="仿宋_GB2312" w:hAnsi="Times New Roman" w:eastAsia="仿宋_GB2312" w:cs="DengXian-Regular"/>
          <w:sz w:val="32"/>
          <w:szCs w:val="32"/>
        </w:rPr>
        <w:t>支出122.69万元，占</w:t>
      </w:r>
      <w:r>
        <w:rPr>
          <w:rFonts w:hint="eastAsia" w:ascii="仿宋_GB2312" w:hAnsi="Times New Roman" w:eastAsia="仿宋_GB2312" w:cs="DengXian-Regular"/>
          <w:sz w:val="32"/>
          <w:szCs w:val="32"/>
          <w:lang w:val="en-US" w:eastAsia="zh-CN"/>
        </w:rPr>
        <w:t>0.75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drawing>
          <wp:anchor distT="0" distB="0" distL="114300" distR="114300" simplePos="0" relativeHeight="251699200" behindDoc="1" locked="0" layoutInCell="1" allowOverlap="1">
            <wp:simplePos x="0" y="0"/>
            <wp:positionH relativeFrom="column">
              <wp:posOffset>726440</wp:posOffset>
            </wp:positionH>
            <wp:positionV relativeFrom="paragraph">
              <wp:posOffset>212725</wp:posOffset>
            </wp:positionV>
            <wp:extent cx="4507865" cy="3084830"/>
            <wp:effectExtent l="4445" t="4445" r="21590" b="15875"/>
            <wp:wrapTight wrapText="bothSides">
              <wp:wrapPolygon>
                <wp:start x="-21" y="-31"/>
                <wp:lineTo x="-21" y="21444"/>
                <wp:lineTo x="21521" y="21444"/>
                <wp:lineTo x="21521" y="-31"/>
                <wp:lineTo x="-21" y="-31"/>
              </wp:wrapPolygon>
            </wp:wrapTight>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p>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年度财政拨款基本支出300.2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300.23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92.33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highlight w:val="none"/>
          <w:shd w:val="clear"/>
        </w:rPr>
        <w:t>本部门2019年度“三公”经费支出共计</w:t>
      </w:r>
      <w:r>
        <w:rPr>
          <w:rFonts w:hint="eastAsia" w:ascii="仿宋_GB2312" w:hAnsi="Times New Roman" w:eastAsia="仿宋_GB2312" w:cs="DengXian-Regular"/>
          <w:sz w:val="32"/>
          <w:szCs w:val="32"/>
          <w:highlight w:val="none"/>
          <w:shd w:val="clear"/>
          <w:lang w:val="en-US" w:eastAsia="zh-CN"/>
        </w:rPr>
        <w:t>2.2</w:t>
      </w:r>
      <w:r>
        <w:rPr>
          <w:rFonts w:hint="eastAsia" w:ascii="仿宋_GB2312" w:hAnsi="Times New Roman" w:eastAsia="仿宋_GB2312" w:cs="DengXian-Regular"/>
          <w:sz w:val="32"/>
          <w:szCs w:val="32"/>
          <w:highlight w:val="none"/>
          <w:shd w:val="clear"/>
        </w:rPr>
        <w:t>万元，完成预算的</w:t>
      </w:r>
      <w:r>
        <w:rPr>
          <w:rFonts w:hint="eastAsia" w:ascii="仿宋_GB2312" w:hAnsi="Times New Roman" w:eastAsia="仿宋_GB2312" w:cs="DengXian-Regular"/>
          <w:sz w:val="32"/>
          <w:szCs w:val="32"/>
          <w:highlight w:val="none"/>
          <w:shd w:val="clear"/>
          <w:lang w:val="en-US" w:eastAsia="zh-CN"/>
        </w:rPr>
        <w:t>50</w:t>
      </w:r>
      <w:r>
        <w:rPr>
          <w:rFonts w:hint="eastAsia" w:ascii="仿宋_GB2312" w:hAnsi="Times New Roman" w:eastAsia="仿宋_GB2312" w:cs="DengXian-Regular"/>
          <w:sz w:val="32"/>
          <w:szCs w:val="32"/>
          <w:highlight w:val="none"/>
          <w:shd w:val="clear"/>
        </w:rPr>
        <w:t>%,较预算减少</w:t>
      </w:r>
      <w:r>
        <w:rPr>
          <w:rFonts w:hint="eastAsia" w:ascii="仿宋_GB2312" w:hAnsi="Times New Roman" w:eastAsia="仿宋_GB2312" w:cs="DengXian-Regular"/>
          <w:sz w:val="32"/>
          <w:szCs w:val="32"/>
          <w:highlight w:val="none"/>
          <w:shd w:val="clear"/>
          <w:lang w:val="en-US" w:eastAsia="zh-CN"/>
        </w:rPr>
        <w:t>2.2</w:t>
      </w:r>
      <w:r>
        <w:rPr>
          <w:rFonts w:hint="eastAsia" w:ascii="仿宋_GB2312" w:hAnsi="Times New Roman" w:eastAsia="仿宋_GB2312" w:cs="DengXian-Regular"/>
          <w:sz w:val="32"/>
          <w:szCs w:val="32"/>
          <w:highlight w:val="none"/>
          <w:shd w:val="clear"/>
        </w:rPr>
        <w:t>万元，降低</w:t>
      </w:r>
      <w:r>
        <w:rPr>
          <w:rFonts w:hint="eastAsia" w:ascii="仿宋_GB2312" w:hAnsi="Times New Roman" w:eastAsia="仿宋_GB2312" w:cs="DengXian-Regular"/>
          <w:sz w:val="32"/>
          <w:szCs w:val="32"/>
          <w:highlight w:val="none"/>
          <w:shd w:val="clear"/>
          <w:lang w:val="en-US" w:eastAsia="zh-CN"/>
        </w:rPr>
        <w:t>50</w:t>
      </w:r>
      <w:r>
        <w:rPr>
          <w:rFonts w:hint="eastAsia" w:ascii="仿宋_GB2312" w:hAnsi="Times New Roman" w:eastAsia="仿宋_GB2312" w:cs="DengXian-Regular"/>
          <w:sz w:val="32"/>
          <w:szCs w:val="32"/>
          <w:highlight w:val="none"/>
          <w:shd w:val="clear"/>
        </w:rPr>
        <w:t>%</w:t>
      </w:r>
      <w:r>
        <w:rPr>
          <w:rFonts w:hint="eastAsia" w:ascii="仿宋_GB2312" w:hAnsi="Times New Roman" w:eastAsia="仿宋_GB2312" w:cs="DengXian-Regular"/>
          <w:sz w:val="32"/>
          <w:szCs w:val="32"/>
          <w:highlight w:val="none"/>
          <w:shd w:val="clear"/>
          <w:lang w:eastAsia="zh-CN"/>
        </w:rPr>
        <w:t>。</w:t>
      </w:r>
      <w:r>
        <w:rPr>
          <w:rFonts w:hint="eastAsia" w:ascii="仿宋_GB2312" w:hAnsi="Times New Roman" w:eastAsia="仿宋_GB2312" w:cs="DengXian-Regular"/>
          <w:sz w:val="32"/>
          <w:szCs w:val="32"/>
          <w:lang w:val="en-US" w:eastAsia="zh-CN"/>
        </w:rPr>
        <w:t>本部门为新成立部门，无法与2018年决算数相比较。</w:t>
      </w:r>
      <w:r>
        <w:rPr>
          <w:rFonts w:hint="eastAsia" w:ascii="仿宋_GB2312" w:hAnsi="Times New Roman" w:eastAsia="仿宋_GB2312" w:cs="DengXian-Regular"/>
          <w:sz w:val="32"/>
          <w:szCs w:val="32"/>
        </w:rPr>
        <w:t>具体情况如下</w:t>
      </w:r>
      <w:r>
        <w:rPr>
          <w:rFonts w:hint="eastAsia" w:ascii="仿宋_GB2312" w:hAnsi="Times New Roman" w:eastAsia="仿宋_GB2312" w:cs="DengXian-Regular"/>
          <w:sz w:val="32"/>
          <w:szCs w:val="32"/>
          <w:lang w:eastAsia="zh-CN"/>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无支出</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无支出</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2.2</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w:t>
      </w:r>
      <w:r>
        <w:rPr>
          <w:rFonts w:hint="eastAsia" w:ascii="仿宋_GB2312" w:hAnsi="Times New Roman" w:eastAsia="仿宋_GB2312" w:cs="DengXian-Regular"/>
          <w:sz w:val="32"/>
          <w:szCs w:val="32"/>
          <w:lang w:val="en-US" w:eastAsia="zh-CN"/>
        </w:rPr>
        <w:t>年初</w:t>
      </w:r>
      <w:r>
        <w:rPr>
          <w:rFonts w:hint="eastAsia" w:ascii="仿宋_GB2312" w:hAnsi="Times New Roman" w:eastAsia="仿宋_GB2312" w:cs="DengXian-Regular"/>
          <w:sz w:val="32"/>
          <w:szCs w:val="32"/>
        </w:rPr>
        <w:t>预算减少</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highlight w:val="none"/>
          <w:shd w:val="clear"/>
          <w:lang w:val="en-US" w:eastAsia="zh-CN"/>
        </w:rPr>
        <w:t>原有两辆公务用车报废一辆</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本部门为新成立部门，无法与2018年决算数相比较。</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无进行公车购置</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本部门为新成立部门，无法与2018年决算数相比较</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highlight w:val="none"/>
          <w:shd w:val="clear"/>
          <w:lang w:val="en-US" w:eastAsia="zh-CN"/>
        </w:rPr>
        <w:t>原有两辆公务用车报废一辆。</w:t>
      </w:r>
      <w:r>
        <w:rPr>
          <w:rFonts w:hint="eastAsia" w:ascii="仿宋_GB2312" w:hAnsi="Times New Roman" w:eastAsia="仿宋_GB2312" w:cs="DengXian-Regular"/>
          <w:sz w:val="32"/>
          <w:szCs w:val="32"/>
          <w:lang w:val="en-US" w:eastAsia="zh-CN"/>
        </w:rPr>
        <w:t>本部门为新成立部门，无法与上年决算进行比较。</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人员无增减</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本部门为新成立部门，无法与上年进行比较。</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w:t>
      </w:r>
      <w:r>
        <w:rPr>
          <w:rFonts w:hint="eastAsia" w:ascii="仿宋_GB2312" w:hAnsi="仿宋_GB2312" w:eastAsia="仿宋_GB2312" w:cs="仿宋_GB2312"/>
          <w:sz w:val="32"/>
          <w:szCs w:val="32"/>
          <w:highlight w:val="none"/>
        </w:rPr>
        <w:t>一级项目</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个，二级项目</w:t>
      </w: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highlight w:val="none"/>
        </w:rPr>
        <w:t>个，共</w:t>
      </w:r>
      <w:r>
        <w:rPr>
          <w:rFonts w:hint="eastAsia" w:ascii="仿宋_GB2312" w:hAnsi="仿宋_GB2312" w:eastAsia="仿宋_GB2312" w:cs="仿宋_GB2312"/>
          <w:sz w:val="32"/>
          <w:szCs w:val="32"/>
        </w:rPr>
        <w:t>涉及资金</w:t>
      </w:r>
      <w:r>
        <w:rPr>
          <w:rFonts w:hint="eastAsia" w:ascii="仿宋_GB2312" w:hAnsi="仿宋_GB2312" w:eastAsia="仿宋_GB2312" w:cs="仿宋_GB2312"/>
          <w:sz w:val="32"/>
          <w:szCs w:val="32"/>
          <w:lang w:val="en-US" w:eastAsia="zh-CN"/>
        </w:rPr>
        <w:t>16273.90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99.2%</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死亡</w:t>
      </w:r>
      <w:r>
        <w:rPr>
          <w:rFonts w:hint="eastAsia" w:ascii="仿宋_GB2312" w:hAnsi="仿宋_GB2312" w:eastAsia="仿宋_GB2312" w:cs="仿宋_GB2312"/>
          <w:sz w:val="32"/>
          <w:szCs w:val="32"/>
        </w:rPr>
        <w:t>抚恤”“</w:t>
      </w:r>
      <w:r>
        <w:rPr>
          <w:rFonts w:hint="eastAsia" w:ascii="仿宋_GB2312" w:hAnsi="仿宋_GB2312" w:eastAsia="仿宋_GB2312" w:cs="仿宋_GB2312"/>
          <w:sz w:val="32"/>
          <w:szCs w:val="32"/>
          <w:lang w:val="en-US" w:eastAsia="zh-CN"/>
        </w:rPr>
        <w:t>伤残抚恤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退役安置”“创业就业”</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多</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16273.90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从预算绩效自评价的结果来看，我部门2019年支出达到了预期效果，并超额完成。</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优抚对象抚恤补助资金（冀财社2018年120号）”项目</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退役士兵待安置期间生活费”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left="-43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优抚对象抚恤补助资金（冀财社2018年120号）项目自评综述：根据年初设定的绩效目标，优抚对象抚恤补助资金（冀财社2018年120号）项目绩效自评得分为99.6分（绩效自评表附后）。全年预算数为63万元，执行数为63万元，完成预算的100%。项目绩效目标完成情况：一是优抚对象抚恤补助资金发放覆盖率达到100%；二是义务兵家庭优待金发放覆盖率达到100%；三是优抚对象抚恤补助资金和义务兵家庭优待金及时发放。并无发现的问题，下一步继续保持，做到最优。</w:t>
      </w:r>
    </w:p>
    <w:p>
      <w:pPr>
        <w:numPr>
          <w:ilvl w:val="0"/>
          <w:numId w:val="4"/>
        </w:numPr>
        <w:adjustRightInd w:val="0"/>
        <w:snapToGrid w:val="0"/>
        <w:spacing w:line="580" w:lineRule="exact"/>
        <w:ind w:left="-430" w:leftChars="0" w:firstLine="640" w:firstLineChars="0"/>
        <w:rPr>
          <w:rFonts w:hint="eastAsia" w:ascii="仿宋_GB2312" w:hAnsi="仿宋_GB2312" w:eastAsia="仿宋_GB2312" w:cs="仿宋_GB2312"/>
          <w:sz w:val="32"/>
          <w:szCs w:val="32"/>
          <w:lang w:val="en-US" w:eastAsia="zh-CN"/>
        </w:rPr>
      </w:pPr>
    </w:p>
    <w:tbl>
      <w:tblPr>
        <w:tblStyle w:val="6"/>
        <w:tblpPr w:leftFromText="180" w:rightFromText="180" w:vertAnchor="text" w:horzAnchor="page" w:tblpX="1582" w:tblpY="1577"/>
        <w:tblOverlap w:val="never"/>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0"/>
        <w:gridCol w:w="554"/>
        <w:gridCol w:w="585"/>
        <w:gridCol w:w="1457"/>
        <w:gridCol w:w="1619"/>
        <w:gridCol w:w="1035"/>
        <w:gridCol w:w="630"/>
        <w:gridCol w:w="17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882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ind w:firstLine="2160" w:firstLineChars="1200"/>
              <w:jc w:val="both"/>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藁城区</w:t>
            </w:r>
            <w:r>
              <w:rPr>
                <w:rStyle w:val="13"/>
                <w:sz w:val="18"/>
                <w:szCs w:val="18"/>
                <w:lang w:val="en-US" w:eastAsia="zh-CN" w:bidi="ar"/>
              </w:rPr>
              <w:t>转移支付（抚恤补助）绩效目标自评表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2" w:hRule="atLeast"/>
        </w:trPr>
        <w:tc>
          <w:tcPr>
            <w:tcW w:w="8820" w:type="dxa"/>
            <w:gridSpan w:val="8"/>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2" w:hRule="atLeast"/>
        </w:trPr>
        <w:tc>
          <w:tcPr>
            <w:tcW w:w="23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转移支付（项目）名称</w:t>
            </w:r>
          </w:p>
        </w:tc>
        <w:tc>
          <w:tcPr>
            <w:tcW w:w="648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优抚对象抚恤补助资金（冀财社2018年120号）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中央主管部门</w:t>
            </w:r>
          </w:p>
        </w:tc>
        <w:tc>
          <w:tcPr>
            <w:tcW w:w="648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退役军人事务部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地方主管部门</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河北省退役军人事务厅</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实施单位</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项目资金</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（万元）</w:t>
            </w: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全年预算数（A）</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全年执行数（B）</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年度资金总额：</w:t>
            </w:r>
          </w:p>
        </w:tc>
        <w:tc>
          <w:tcPr>
            <w:tcW w:w="16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15"/>
                <w:sz w:val="18"/>
                <w:szCs w:val="18"/>
                <w:lang w:val="en-US" w:eastAsia="zh-CN" w:bidi="ar"/>
              </w:rPr>
              <w:t>其中：中央补助</w:t>
            </w:r>
          </w:p>
        </w:tc>
        <w:tc>
          <w:tcPr>
            <w:tcW w:w="16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省级资金</w:t>
            </w:r>
          </w:p>
        </w:tc>
        <w:tc>
          <w:tcPr>
            <w:tcW w:w="161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63</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市级资金</w:t>
            </w:r>
          </w:p>
        </w:tc>
        <w:tc>
          <w:tcPr>
            <w:tcW w:w="1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15"/>
                <w:sz w:val="18"/>
                <w:szCs w:val="18"/>
                <w:lang w:val="en-US" w:eastAsia="zh-CN" w:bidi="ar"/>
              </w:rPr>
              <w:t xml:space="preserve">      地方资金</w:t>
            </w:r>
          </w:p>
        </w:tc>
        <w:tc>
          <w:tcPr>
            <w:tcW w:w="161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3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15"/>
                <w:sz w:val="18"/>
                <w:szCs w:val="18"/>
                <w:lang w:val="en-US" w:eastAsia="zh-CN" w:bidi="ar"/>
              </w:rPr>
              <w:t xml:space="preserve">  其他资金</w:t>
            </w:r>
          </w:p>
        </w:tc>
        <w:tc>
          <w:tcPr>
            <w:tcW w:w="16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年度总体目标</w:t>
            </w:r>
          </w:p>
        </w:tc>
        <w:tc>
          <w:tcPr>
            <w:tcW w:w="421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年初设定目标</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4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421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主要用于优抚对象的抚恤及生活补助，发放义务兵家庭优待金。</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足额按时发放优抚对象抚恤、生活补助以及义务兵家庭优待金，优抚对象生活情况有效改善，义务兵家庭满意度有效提高，服务对象满意率达到98%。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绩效指标</w:t>
            </w:r>
          </w:p>
        </w:tc>
        <w:tc>
          <w:tcPr>
            <w:tcW w:w="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年度指标值</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全年完成值</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未完成原因和改进措施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出</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标</w:t>
            </w: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优抚对象抚恤补助资金发放覆盖率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义务兵家庭优待金发放覆盖率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经费足额发放率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优抚对象抚恤补助资金和义务兵家庭优待金及时发放</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 益 指 标</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优抚对象生活情况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有效改善</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有效改善</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提高义务兵家庭满意度</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有效提高</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有效提高</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FF0000"/>
                <w:sz w:val="18"/>
                <w:szCs w:val="18"/>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满意度指标</w:t>
            </w:r>
          </w:p>
        </w:tc>
        <w:tc>
          <w:tcPr>
            <w:tcW w:w="30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优抚对象满意率、义务兵家庭优待金发放满意率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8"/>
                <w:szCs w:val="18"/>
                <w:u w:val="none"/>
              </w:rPr>
            </w:pPr>
            <w:r>
              <w:rPr>
                <w:rFonts w:ascii="宋体" w:hAnsi="宋体" w:eastAsia="宋体" w:cs="宋体"/>
                <w:i w:val="0"/>
                <w:color w:val="000000"/>
                <w:kern w:val="0"/>
                <w:sz w:val="18"/>
                <w:szCs w:val="18"/>
                <w:u w:val="none"/>
                <w:lang w:val="en-US" w:eastAsia="zh-CN" w:bidi="ar"/>
              </w:rPr>
              <w:t>≧</w:t>
            </w:r>
            <w:r>
              <w:rPr>
                <w:rStyle w:val="16"/>
                <w:sz w:val="18"/>
                <w:szCs w:val="18"/>
                <w:lang w:val="en-US" w:eastAsia="zh-CN" w:bidi="ar"/>
              </w:rPr>
              <w:t>95%</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说明</w:t>
            </w:r>
          </w:p>
        </w:tc>
        <w:tc>
          <w:tcPr>
            <w:tcW w:w="76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请在此处简要说明中央巡视、各级审计和财政监督中发现的问题及其所涉及的金额，如没有请填无。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882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注：1.其他资金包括和中央补助、地方财政资金共同投入到同一项目的自有资金、社会资金，以及以前年度的结转结余资金等。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882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2.定量指标，资金使用单位填写本地区实际完成数。财政和主管部门汇总时，对绝对值直接累加计算，相对值按照资金额度加权平均计算。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882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3.定性指标根据指标完成情况分为：全部或基本达成预期指标、部分达成预期指标并具有一定效果、未达成预期指标且效果较差三档，分别按照100%-80%（含）、80%-60%（含）、60-0%合理填写完成比例。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2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15"/>
                <w:sz w:val="18"/>
                <w:szCs w:val="18"/>
                <w:lang w:val="en-US" w:eastAsia="zh-CN" w:bidi="ar"/>
              </w:rPr>
              <w:t xml:space="preserve">   4.资金使用单位按项目填报，主管部门和财政部门汇总时按区域绩效目标填报。</w:t>
            </w:r>
          </w:p>
        </w:tc>
      </w:tr>
    </w:tbl>
    <w:p>
      <w:pPr>
        <w:numPr>
          <w:ilvl w:val="0"/>
          <w:numId w:val="4"/>
        </w:numPr>
        <w:adjustRightInd w:val="0"/>
        <w:snapToGrid w:val="0"/>
        <w:spacing w:line="580" w:lineRule="exact"/>
        <w:ind w:firstLine="640" w:firstLineChars="200"/>
        <w:rPr>
          <w:rFonts w:hint="eastAsia"/>
          <w:lang w:val="en-US" w:eastAsia="zh-CN"/>
        </w:rPr>
      </w:pPr>
      <w:r>
        <w:rPr>
          <w:rFonts w:hint="eastAsia" w:ascii="仿宋_GB2312" w:hAnsi="仿宋_GB2312" w:eastAsia="仿宋_GB2312" w:cs="仿宋_GB2312"/>
          <w:sz w:val="32"/>
          <w:szCs w:val="32"/>
          <w:lang w:val="en-US" w:eastAsia="zh-CN"/>
        </w:rPr>
        <w:t>费项目绩效自评得分为100分（绩效自评表附后）。全年预算数为27.8万元，执行数为27.8万元，完成预算的100%。项目绩效目标完成情况：一是经费足额拨付率达到100%；二是足额按时下拨相关补助，有效保障退役士兵合法权益；三是退役士兵满意率。并无发现的问题.</w:t>
      </w:r>
    </w:p>
    <w:tbl>
      <w:tblPr>
        <w:tblStyle w:val="6"/>
        <w:tblW w:w="87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54"/>
        <w:gridCol w:w="555"/>
        <w:gridCol w:w="1034"/>
        <w:gridCol w:w="1979"/>
        <w:gridCol w:w="927"/>
        <w:gridCol w:w="1348"/>
        <w:gridCol w:w="859"/>
        <w:gridCol w:w="15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0" w:hRule="atLeast"/>
        </w:trPr>
        <w:tc>
          <w:tcPr>
            <w:tcW w:w="877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b/>
                <w:i w:val="0"/>
                <w:color w:val="000000"/>
                <w:kern w:val="0"/>
                <w:sz w:val="32"/>
                <w:szCs w:val="32"/>
                <w:u w:val="none"/>
                <w:lang w:val="en-US" w:eastAsia="zh-CN" w:bidi="ar"/>
              </w:rPr>
            </w:pPr>
            <w:r>
              <w:rPr>
                <w:rFonts w:hint="eastAsia" w:ascii="宋体" w:hAnsi="宋体" w:eastAsia="宋体" w:cs="宋体"/>
                <w:b/>
                <w:i w:val="0"/>
                <w:color w:val="000000"/>
                <w:kern w:val="0"/>
                <w:sz w:val="32"/>
                <w:szCs w:val="32"/>
                <w:u w:val="none"/>
                <w:lang w:val="en-US" w:eastAsia="zh-CN" w:bidi="ar"/>
              </w:rPr>
              <w:t>藁城区转移支付（退役士兵待安置期间生活费）</w:t>
            </w:r>
          </w:p>
          <w:p>
            <w:pPr>
              <w:keepNext w:val="0"/>
              <w:keepLines w:val="0"/>
              <w:widowControl/>
              <w:suppressLineNumbers w:val="0"/>
              <w:jc w:val="center"/>
              <w:textAlignment w:val="center"/>
              <w:rPr>
                <w:rFonts w:hint="eastAsia" w:ascii="宋体" w:hAnsi="宋体" w:eastAsia="宋体" w:cs="宋体"/>
                <w:b/>
                <w:i w:val="0"/>
                <w:color w:val="000000"/>
                <w:sz w:val="32"/>
                <w:szCs w:val="32"/>
                <w:u w:val="none"/>
              </w:rPr>
            </w:pPr>
            <w:r>
              <w:rPr>
                <w:rFonts w:hint="eastAsia" w:ascii="宋体" w:hAnsi="宋体" w:eastAsia="宋体" w:cs="宋体"/>
                <w:b/>
                <w:i w:val="0"/>
                <w:color w:val="000000"/>
                <w:kern w:val="0"/>
                <w:sz w:val="32"/>
                <w:szCs w:val="32"/>
                <w:u w:val="none"/>
                <w:lang w:val="en-US" w:eastAsia="zh-CN" w:bidi="ar"/>
              </w:rPr>
              <w:t>绩效目标自评表</w:t>
            </w:r>
            <w:r>
              <w:rPr>
                <w:rStyle w:val="17"/>
                <w:rFonts w:ascii="宋体" w:hAnsi="宋体" w:eastAsia="宋体" w:cs="宋体"/>
                <w:sz w:val="24"/>
                <w:szCs w:val="24"/>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2" w:hRule="atLeast"/>
        </w:trPr>
        <w:tc>
          <w:tcPr>
            <w:tcW w:w="8775" w:type="dxa"/>
            <w:gridSpan w:val="8"/>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2" w:hRule="atLeast"/>
        </w:trPr>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转移支付（项目）名称</w:t>
            </w:r>
          </w:p>
        </w:tc>
        <w:tc>
          <w:tcPr>
            <w:tcW w:w="663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退役士兵待安置期间生活费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中央主管部门</w:t>
            </w:r>
          </w:p>
        </w:tc>
        <w:tc>
          <w:tcPr>
            <w:tcW w:w="663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退役军人事务部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地方主管部门</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河北省退役军人事务厅</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23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0" w:hRule="atLeast"/>
        </w:trPr>
        <w:tc>
          <w:tcPr>
            <w:tcW w:w="21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（万元）</w:t>
            </w: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全年预算数（A）</w:t>
            </w: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全年执行数（B）</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年度资金总额：</w:t>
            </w:r>
          </w:p>
        </w:tc>
        <w:tc>
          <w:tcPr>
            <w:tcW w:w="9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w:t>
            </w: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r>
              <w:rPr>
                <w:rStyle w:val="18"/>
                <w:lang w:val="en-US" w:eastAsia="zh-CN" w:bidi="ar"/>
              </w:rPr>
              <w:t>其中：中央补助</w:t>
            </w:r>
          </w:p>
        </w:tc>
        <w:tc>
          <w:tcPr>
            <w:tcW w:w="9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省级资金</w:t>
            </w:r>
          </w:p>
        </w:tc>
        <w:tc>
          <w:tcPr>
            <w:tcW w:w="9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市级资金</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w:t>
            </w:r>
            <w:r>
              <w:rPr>
                <w:rStyle w:val="18"/>
                <w:lang w:val="en-US" w:eastAsia="zh-CN" w:bidi="ar"/>
              </w:rPr>
              <w:t xml:space="preserve">      地方资金</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w:t>
            </w: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27.8</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2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18"/>
                <w:lang w:val="en-US" w:eastAsia="zh-CN" w:bidi="ar"/>
              </w:rPr>
              <w:t xml:space="preserve">  其他资金</w:t>
            </w:r>
          </w:p>
        </w:tc>
        <w:tc>
          <w:tcPr>
            <w:tcW w:w="9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2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年度总体目标</w:t>
            </w:r>
          </w:p>
        </w:tc>
        <w:tc>
          <w:tcPr>
            <w:tcW w:w="44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年初设定目标</w:t>
            </w:r>
          </w:p>
        </w:tc>
        <w:tc>
          <w:tcPr>
            <w:tcW w:w="37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4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4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阳光安置，保障退役士兵合法权益；按时足额发放各类经济补助</w:t>
            </w:r>
          </w:p>
        </w:tc>
        <w:tc>
          <w:tcPr>
            <w:tcW w:w="372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足额按时下拨一次性经济补助，有效保障退役士兵合法权益，保持退役士兵群体基本稳定。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绩效指标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年度指标值</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全年完成值</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未完成原因和改进措施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出</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经费足额拨付率</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及时拨付资金</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 益 指 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足额按时下拨相关补助，有效保障退役士兵合法权益</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保障军队建设需要</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促进社会和谐</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0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满意度指标</w:t>
            </w:r>
          </w:p>
        </w:tc>
        <w:tc>
          <w:tcPr>
            <w:tcW w:w="29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退役士兵满意率</w:t>
            </w: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20"/>
                <w:szCs w:val="20"/>
                <w:u w:val="none"/>
              </w:rPr>
            </w:pPr>
            <w:r>
              <w:rPr>
                <w:rFonts w:ascii="宋体" w:hAnsi="宋体" w:eastAsia="宋体" w:cs="宋体"/>
                <w:i w:val="0"/>
                <w:color w:val="000000"/>
                <w:kern w:val="0"/>
                <w:sz w:val="20"/>
                <w:szCs w:val="20"/>
                <w:u w:val="none"/>
                <w:lang w:val="en-US" w:eastAsia="zh-CN" w:bidi="ar"/>
              </w:rPr>
              <w:t>≧</w:t>
            </w:r>
            <w:r>
              <w:rPr>
                <w:rStyle w:val="19"/>
                <w:lang w:val="en-US" w:eastAsia="zh-CN" w:bidi="ar"/>
              </w:rPr>
              <w:t>90%</w:t>
            </w:r>
          </w:p>
        </w:tc>
        <w:tc>
          <w:tcPr>
            <w:tcW w:w="8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说明</w:t>
            </w:r>
          </w:p>
        </w:tc>
        <w:tc>
          <w:tcPr>
            <w:tcW w:w="822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87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注：1.其他资金包括和中央补助、地方财政资金共同投入到同一项目的自有资金、社会资金，以及以前年度的结转结余资金等。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87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2.定量指标，资金使用单位填写本地区实际完成数。财政和主管部门汇总时，对绝对值直接累加计算，相对值按照资金额度加权平均计算。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87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3.定性指标根据指标完成情况分为：全部或基本达成预期指标、部分达成预期指标并具有一定效果、未达成预期指标且效果较差三档，分别按照100%-80%（含）、80%-60%（含）、60-0%合理填写完成比例。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7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20"/>
                <w:lang w:val="en-US" w:eastAsia="zh-CN" w:bidi="ar"/>
              </w:rPr>
              <w:t xml:space="preserve">   4.资金使用单位按项目填报，主管部门和财政部门汇总时按区域绩效目标填报。</w:t>
            </w:r>
          </w:p>
        </w:tc>
      </w:tr>
    </w:tbl>
    <w:p>
      <w:pPr>
        <w:numPr>
          <w:ilvl w:val="0"/>
          <w:numId w:val="4"/>
        </w:numPr>
        <w:adjustRightInd w:val="0"/>
        <w:snapToGrid w:val="0"/>
        <w:spacing w:line="580" w:lineRule="exact"/>
        <w:ind w:left="-43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冀财社[2019]58号文退役士兵养老保险接续</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冀财社[2019]58号文退役士兵养老保险接续</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1742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1742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符合享受基本养老保险补缴的退役士兵补缴人数达到100%；二是部分退役士兵基本养老保险补缴经费按规定执行率达到100%；三是符合补缴养老保险退役士兵满意度达到100%。并无发现的问题，下一步继续保持，做到最优。</w:t>
      </w:r>
    </w:p>
    <w:tbl>
      <w:tblPr>
        <w:tblStyle w:val="6"/>
        <w:tblW w:w="90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55"/>
        <w:gridCol w:w="554"/>
        <w:gridCol w:w="816"/>
        <w:gridCol w:w="1977"/>
        <w:gridCol w:w="1349"/>
        <w:gridCol w:w="1389"/>
        <w:gridCol w:w="912"/>
        <w:gridCol w:w="152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44" w:hRule="atLeast"/>
        </w:trPr>
        <w:tc>
          <w:tcPr>
            <w:tcW w:w="907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jc w:val="center"/>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kern w:val="0"/>
                <w:sz w:val="32"/>
                <w:szCs w:val="32"/>
                <w:u w:val="none"/>
                <w:lang w:val="en-US" w:eastAsia="zh-CN" w:bidi="ar"/>
              </w:rPr>
            </w:pPr>
          </w:p>
          <w:p>
            <w:pPr>
              <w:keepNext w:val="0"/>
              <w:keepLines w:val="0"/>
              <w:widowControl/>
              <w:suppressLineNumbers w:val="0"/>
              <w:ind w:firstLine="640" w:firstLineChars="200"/>
              <w:jc w:val="both"/>
              <w:textAlignment w:val="center"/>
              <w:rPr>
                <w:rFonts w:hint="eastAsia" w:ascii="宋体" w:hAnsi="宋体" w:eastAsia="宋体" w:cs="宋体"/>
                <w:i w:val="0"/>
                <w:color w:val="000000"/>
                <w:sz w:val="32"/>
                <w:szCs w:val="32"/>
                <w:u w:val="none"/>
              </w:rPr>
            </w:pPr>
            <w:r>
              <w:rPr>
                <w:rFonts w:hint="eastAsia" w:ascii="宋体" w:hAnsi="宋体" w:eastAsia="宋体" w:cs="宋体"/>
                <w:i w:val="0"/>
                <w:color w:val="000000"/>
                <w:kern w:val="0"/>
                <w:sz w:val="32"/>
                <w:szCs w:val="32"/>
                <w:u w:val="none"/>
                <w:lang w:val="en-US" w:eastAsia="zh-CN" w:bidi="ar"/>
              </w:rPr>
              <w:t>藁城区</w:t>
            </w:r>
            <w:r>
              <w:rPr>
                <w:rStyle w:val="21"/>
                <w:lang w:val="en-US" w:eastAsia="zh-CN" w:bidi="ar"/>
              </w:rPr>
              <w:t>转移支付（养老保险接续）绩效目标自评表</w:t>
            </w:r>
            <w:r>
              <w:rPr>
                <w:rStyle w:val="22"/>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7" w:hRule="atLeast"/>
        </w:trPr>
        <w:tc>
          <w:tcPr>
            <w:tcW w:w="9075" w:type="dxa"/>
            <w:gridSpan w:val="8"/>
            <w:tcBorders>
              <w:top w:val="nil"/>
              <w:left w:val="nil"/>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2" w:hRule="atLeast"/>
        </w:trPr>
        <w:tc>
          <w:tcPr>
            <w:tcW w:w="19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转移支付（项目）名称</w:t>
            </w:r>
          </w:p>
        </w:tc>
        <w:tc>
          <w:tcPr>
            <w:tcW w:w="715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冀财社[2019]58号文退役士兵养老保险接续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中央主管部门</w:t>
            </w:r>
          </w:p>
        </w:tc>
        <w:tc>
          <w:tcPr>
            <w:tcW w:w="715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退役军人事务部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地方主管部门</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河北省退役军人事务厅</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实施单位</w:t>
            </w:r>
          </w:p>
        </w:tc>
        <w:tc>
          <w:tcPr>
            <w:tcW w:w="243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19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（万元）</w:t>
            </w: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全年预算数（A）</w:t>
            </w: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全年执行数（B）</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预算执行率（B/A)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年度资金总额：</w:t>
            </w:r>
          </w:p>
        </w:tc>
        <w:tc>
          <w:tcPr>
            <w:tcW w:w="13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1742</w:t>
            </w: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1742</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其中：中央补助</w:t>
            </w:r>
          </w:p>
        </w:tc>
        <w:tc>
          <w:tcPr>
            <w:tcW w:w="13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242</w:t>
            </w: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242</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省级资金</w:t>
            </w:r>
          </w:p>
        </w:tc>
        <w:tc>
          <w:tcPr>
            <w:tcW w:w="13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市级资金</w:t>
            </w:r>
          </w:p>
        </w:tc>
        <w:tc>
          <w:tcPr>
            <w:tcW w:w="13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地方资金</w:t>
            </w:r>
          </w:p>
        </w:tc>
        <w:tc>
          <w:tcPr>
            <w:tcW w:w="13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1500</w:t>
            </w: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1500</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9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9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 xml:space="preserve">  其他资金</w:t>
            </w:r>
          </w:p>
        </w:tc>
        <w:tc>
          <w:tcPr>
            <w:tcW w:w="13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0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年度总体目标</w:t>
            </w:r>
          </w:p>
        </w:tc>
        <w:tc>
          <w:tcPr>
            <w:tcW w:w="46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年初设定目标</w:t>
            </w:r>
          </w:p>
        </w:tc>
        <w:tc>
          <w:tcPr>
            <w:tcW w:w="382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4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6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完成退役军人保险接续工作，为退役士兵补缴养老保险单位部分</w:t>
            </w:r>
          </w:p>
        </w:tc>
        <w:tc>
          <w:tcPr>
            <w:tcW w:w="382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完成退役军人保险接续工作，为退役士兵补缴养老保险单位部分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绩效指标</w:t>
            </w:r>
          </w:p>
        </w:tc>
        <w:tc>
          <w:tcPr>
            <w:tcW w:w="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年度指标值</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全年完成值</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未完成原因和改进措施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出</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标</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享受基本养老保险补缴的退役士兵人数</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20"/>
                <w:szCs w:val="20"/>
                <w:u w:val="none"/>
              </w:rPr>
            </w:pPr>
            <w:r>
              <w:rPr>
                <w:rFonts w:ascii="宋体" w:hAnsi="宋体" w:eastAsia="宋体" w:cs="宋体"/>
                <w:i w:val="0"/>
                <w:color w:val="000000"/>
                <w:kern w:val="0"/>
                <w:sz w:val="20"/>
                <w:szCs w:val="20"/>
                <w:u w:val="none"/>
                <w:lang w:val="en-US" w:eastAsia="zh-CN" w:bidi="ar"/>
              </w:rPr>
              <w:t>≧1500</w:t>
            </w:r>
            <w:r>
              <w:rPr>
                <w:rFonts w:hint="eastAsia" w:ascii="宋体" w:hAnsi="宋体" w:eastAsia="宋体" w:cs="宋体"/>
                <w:i w:val="0"/>
                <w:color w:val="000000"/>
                <w:kern w:val="0"/>
                <w:sz w:val="20"/>
                <w:szCs w:val="20"/>
                <w:u w:val="none"/>
                <w:lang w:val="en-US" w:eastAsia="zh-CN" w:bidi="ar"/>
              </w:rPr>
              <w:t>人</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1851</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经费足额拨付率</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部分退役士兵基本养老保险补缴经费按规定执行率</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部分退役士兵基本养老保险补缴经费及时补缴率</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标</w:t>
            </w:r>
          </w:p>
        </w:tc>
        <w:tc>
          <w:tcPr>
            <w:tcW w:w="816"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保障军队建设需要</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2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16"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促进社会和谐</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长期</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52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extDirection w:val="tbRlV"/>
            <w:vAlign w:val="center"/>
          </w:tcPr>
          <w:p>
            <w:pPr>
              <w:jc w:val="center"/>
              <w:rPr>
                <w:rFonts w:hint="eastAsia" w:ascii="宋体" w:hAnsi="宋体" w:eastAsia="宋体" w:cs="宋体"/>
                <w:i w:val="0"/>
                <w:color w:val="000000"/>
                <w:sz w:val="20"/>
                <w:szCs w:val="20"/>
                <w:u w:val="none"/>
              </w:rPr>
            </w:pPr>
          </w:p>
        </w:tc>
        <w:tc>
          <w:tcPr>
            <w:tcW w:w="5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8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满意度指标</w:t>
            </w:r>
          </w:p>
        </w:tc>
        <w:tc>
          <w:tcPr>
            <w:tcW w:w="332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符合补缴养老保险条件退役士兵满意度</w:t>
            </w:r>
          </w:p>
        </w:tc>
        <w:tc>
          <w:tcPr>
            <w:tcW w:w="13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20"/>
                <w:szCs w:val="20"/>
                <w:u w:val="none"/>
              </w:rPr>
            </w:pPr>
            <w:r>
              <w:rPr>
                <w:rFonts w:ascii="宋体" w:hAnsi="宋体" w:eastAsia="宋体" w:cs="宋体"/>
                <w:i w:val="0"/>
                <w:color w:val="000000"/>
                <w:kern w:val="0"/>
                <w:sz w:val="20"/>
                <w:szCs w:val="20"/>
                <w:u w:val="none"/>
                <w:lang w:val="en-US" w:eastAsia="zh-CN" w:bidi="ar"/>
              </w:rPr>
              <w:t>≧</w:t>
            </w:r>
            <w:r>
              <w:rPr>
                <w:rFonts w:hint="eastAsia" w:ascii="宋体" w:hAnsi="宋体" w:eastAsia="宋体" w:cs="宋体"/>
                <w:i w:val="0"/>
                <w:color w:val="000000"/>
                <w:kern w:val="0"/>
                <w:sz w:val="20"/>
                <w:szCs w:val="20"/>
                <w:u w:val="none"/>
                <w:lang w:val="en-US" w:eastAsia="zh-CN" w:bidi="ar"/>
              </w:rPr>
              <w:t>90%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5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说明</w:t>
            </w:r>
          </w:p>
        </w:tc>
        <w:tc>
          <w:tcPr>
            <w:tcW w:w="85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0" w:hRule="atLeast"/>
        </w:trPr>
        <w:tc>
          <w:tcPr>
            <w:tcW w:w="90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注：1.其他资金包括和中央补助、地方财政资金共同投入到同一项目的自有资金、社会资金，以及以前年度的结转结余资金等。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0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2.定量指标，资金使用单位填写本地区实际完成数。财政和主管部门汇总时，对绝对值直接累加计算，相对值按照资金额度加权平均计算。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90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3.定性指标根据指标完成情况分为：全部或基本达成预期指标、部分达成预期指标并具有一定效果、未达成预期指标且效果较差三档，分别按照100%-80%（含）、80%-60%（含）、60-0%合理填写完成比例。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07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w:t>
            </w:r>
            <w:r>
              <w:rPr>
                <w:rStyle w:val="23"/>
                <w:lang w:val="en-US" w:eastAsia="zh-CN" w:bidi="ar"/>
              </w:rPr>
              <w:t xml:space="preserve">   4.资金使用单位按项目填报，主管部门和财政部门汇总时按区域绩效目标填报。</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numPr>
          <w:ilvl w:val="0"/>
          <w:numId w:val="0"/>
        </w:numPr>
        <w:snapToGrid w:val="0"/>
        <w:spacing w:line="580" w:lineRule="exact"/>
        <w:ind w:firstLine="640" w:firstLineChars="200"/>
        <w:outlineLvl w:val="1"/>
        <w:rPr>
          <w:rFonts w:ascii="仿宋_GB2312" w:hAnsi="仿宋_GB2312" w:eastAsia="仿宋_GB2312" w:cs="仿宋_GB2312"/>
          <w:b/>
          <w:bCs/>
          <w:sz w:val="32"/>
          <w:szCs w:val="32"/>
        </w:rPr>
      </w:pPr>
      <w:bookmarkStart w:id="0" w:name="_GoBack"/>
      <w:bookmarkEnd w:id="0"/>
      <w:r>
        <w:rPr>
          <w:rFonts w:hint="eastAsia" w:ascii="仿宋_GB2312" w:hAnsi="仿宋_GB2312" w:eastAsia="仿宋_GB2312" w:cs="仿宋_GB2312"/>
          <w:b w:val="0"/>
          <w:bCs w:val="0"/>
          <w:sz w:val="32"/>
          <w:szCs w:val="32"/>
          <w:lang w:val="en-US" w:eastAsia="zh-CN"/>
        </w:rPr>
        <w:t>本部门无</w:t>
      </w:r>
      <w:r>
        <w:rPr>
          <w:rFonts w:hint="eastAsia" w:ascii="仿宋_GB2312" w:hAnsi="仿宋_GB2312" w:eastAsia="仿宋_GB2312" w:cs="仿宋_GB2312"/>
          <w:b w:val="0"/>
          <w:bCs w:val="0"/>
          <w:sz w:val="32"/>
          <w:szCs w:val="32"/>
        </w:rPr>
        <w:t>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149.6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我单位为机构改革新增加单位没有2018年决算数据因此无法与上年进行比较</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highlight w:val="none"/>
        </w:rPr>
      </w:pPr>
      <w:r>
        <w:rPr>
          <w:rFonts w:hint="eastAsia" w:ascii="楷体_GB2312" w:hAnsi="Times New Roman" w:eastAsia="楷体_GB2312" w:cs="DengXian-Bold"/>
          <w:b/>
          <w:bCs/>
          <w:sz w:val="32"/>
          <w:szCs w:val="32"/>
          <w:highlight w:val="none"/>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default" w:ascii="楷体_GB2312" w:hAnsi="Times New Roman" w:eastAsia="仿宋_GB2312" w:cs="DengXian-Bold"/>
          <w:b/>
          <w:bCs/>
          <w:sz w:val="32"/>
          <w:szCs w:val="32"/>
          <w:lang w:val="en-US"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辆，其中离退休干部用车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光荣院老人用车1辆。无</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以及</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本部门为新成立部门，无法与上年进行比较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本部门2019年度国有资本经营预算财政拨款无收支及结转结余情况，故</w:t>
      </w:r>
      <w:r>
        <w:rPr>
          <w:rFonts w:hint="eastAsia" w:ascii="仿宋_GB2312" w:hAnsi="Times New Roman" w:eastAsia="仿宋_GB2312" w:cs="DengXian-Regular"/>
          <w:sz w:val="32"/>
          <w:szCs w:val="32"/>
          <w:lang w:val="en-US" w:eastAsia="zh-CN"/>
        </w:rPr>
        <w:t>z10</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360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462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1084" w:tblpY="128"/>
        <w:tblOverlap w:val="never"/>
        <w:tblW w:w="10291" w:type="dxa"/>
        <w:jc w:val="center"/>
        <w:tblInd w:w="0" w:type="dxa"/>
        <w:tblLayout w:type="fixed"/>
        <w:tblCellMar>
          <w:top w:w="0" w:type="dxa"/>
          <w:left w:w="0" w:type="dxa"/>
          <w:bottom w:w="0" w:type="dxa"/>
          <w:right w:w="0" w:type="dxa"/>
        </w:tblCellMar>
      </w:tblPr>
      <w:tblGrid>
        <w:gridCol w:w="3405"/>
        <w:gridCol w:w="469"/>
        <w:gridCol w:w="1306"/>
        <w:gridCol w:w="2960"/>
        <w:gridCol w:w="711"/>
        <w:gridCol w:w="1440"/>
      </w:tblGrid>
      <w:tr>
        <w:tblPrEx>
          <w:tblLayout w:type="fixed"/>
          <w:tblCellMar>
            <w:top w:w="0" w:type="dxa"/>
            <w:left w:w="0" w:type="dxa"/>
            <w:bottom w:w="0" w:type="dxa"/>
            <w:right w:w="0" w:type="dxa"/>
          </w:tblCellMar>
        </w:tblPrEx>
        <w:trPr>
          <w:trHeight w:val="489" w:hRule="atLeast"/>
          <w:jc w:val="center"/>
        </w:trPr>
        <w:tc>
          <w:tcPr>
            <w:tcW w:w="10291"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4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1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123" w:hRule="atLeast"/>
          <w:jc w:val="center"/>
        </w:trPr>
        <w:tc>
          <w:tcPr>
            <w:tcW w:w="340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1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51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511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495"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18"/>
                <w:tab w:val="right" w:pos="1001"/>
              </w:tabs>
              <w:jc w:val="left"/>
              <w:textAlignment w:val="center"/>
              <w:rPr>
                <w:rFonts w:ascii="宋体" w:hAnsi="宋体" w:eastAsia="宋体" w:cs="宋体"/>
                <w:color w:val="000000"/>
                <w:sz w:val="18"/>
                <w:szCs w:val="18"/>
              </w:rPr>
            </w:pPr>
            <w:r>
              <w:rPr>
                <w:rFonts w:hint="eastAsia" w:ascii="宋体" w:hAnsi="宋体" w:eastAsia="宋体" w:cs="宋体"/>
                <w:color w:val="000000"/>
                <w:kern w:val="0"/>
                <w:sz w:val="21"/>
                <w:szCs w:val="21"/>
                <w:lang w:eastAsia="zh-CN" w:bidi="ar"/>
              </w:rPr>
              <w:t>16378</w:t>
            </w:r>
            <w:r>
              <w:rPr>
                <w:rFonts w:hint="eastAsia" w:ascii="宋体" w:hAnsi="宋体" w:eastAsia="宋体" w:cs="宋体"/>
                <w:color w:val="000000"/>
                <w:kern w:val="0"/>
                <w:sz w:val="21"/>
                <w:szCs w:val="21"/>
                <w:lang w:val="en-US" w:eastAsia="zh-CN" w:bidi="ar"/>
              </w:rPr>
              <w:t>.</w:t>
            </w:r>
            <w:r>
              <w:rPr>
                <w:rFonts w:hint="eastAsia" w:ascii="宋体" w:hAnsi="宋体" w:eastAsia="宋体" w:cs="宋体"/>
                <w:color w:val="000000"/>
                <w:kern w:val="0"/>
                <w:sz w:val="21"/>
                <w:szCs w:val="21"/>
                <w:lang w:eastAsia="zh-CN" w:bidi="ar"/>
              </w:rPr>
              <w:t>3</w:t>
            </w:r>
            <w:r>
              <w:rPr>
                <w:rFonts w:hint="eastAsia" w:ascii="宋体" w:hAnsi="宋体" w:eastAsia="宋体" w:cs="宋体"/>
                <w:color w:val="000000"/>
                <w:kern w:val="0"/>
                <w:sz w:val="21"/>
                <w:szCs w:val="21"/>
                <w:lang w:val="en-US" w:eastAsia="zh-CN" w:bidi="ar"/>
              </w:rPr>
              <w:t>6</w:t>
            </w:r>
            <w:r>
              <w:rPr>
                <w:rFonts w:hint="eastAsia" w:ascii="宋体" w:hAnsi="宋体" w:eastAsia="宋体" w:cs="宋体"/>
                <w:color w:val="000000"/>
                <w:kern w:val="0"/>
                <w:sz w:val="18"/>
                <w:szCs w:val="18"/>
                <w:lang w:eastAsia="zh-CN" w:bidi="ar"/>
              </w:rPr>
              <w:tab/>
            </w:r>
            <w:r>
              <w:rPr>
                <w:rFonts w:hint="eastAsia" w:ascii="宋体" w:hAnsi="宋体" w:eastAsia="宋体" w:cs="宋体"/>
                <w:color w:val="000000"/>
                <w:kern w:val="0"/>
                <w:sz w:val="18"/>
                <w:szCs w:val="18"/>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314"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16106</w:t>
            </w:r>
            <w:r>
              <w:rPr>
                <w:rFonts w:hint="eastAsia" w:ascii="宋体" w:hAnsi="宋体" w:eastAsia="宋体" w:cs="宋体"/>
                <w:color w:val="000000"/>
                <w:kern w:val="0"/>
                <w:sz w:val="22"/>
                <w:lang w:val="en-US" w:eastAsia="zh-CN" w:bidi="ar"/>
              </w:rPr>
              <w:t>.</w:t>
            </w:r>
            <w:r>
              <w:rPr>
                <w:rFonts w:hint="eastAsia" w:ascii="宋体" w:hAnsi="宋体" w:eastAsia="宋体" w:cs="宋体"/>
                <w:color w:val="000000"/>
                <w:kern w:val="0"/>
                <w:sz w:val="22"/>
                <w:lang w:bidi="ar"/>
              </w:rPr>
              <w:t>1</w:t>
            </w:r>
            <w:r>
              <w:rPr>
                <w:rFonts w:hint="eastAsia" w:ascii="宋体" w:hAnsi="宋体" w:eastAsia="宋体" w:cs="宋体"/>
                <w:color w:val="000000"/>
                <w:kern w:val="0"/>
                <w:sz w:val="22"/>
                <w:lang w:val="en-US" w:eastAsia="zh-CN" w:bidi="ar"/>
              </w:rPr>
              <w:t>8</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167</w:t>
            </w:r>
            <w:r>
              <w:rPr>
                <w:rFonts w:hint="eastAsia" w:ascii="宋体" w:hAnsi="宋体" w:eastAsia="宋体" w:cs="宋体"/>
                <w:color w:val="000000"/>
                <w:kern w:val="0"/>
                <w:sz w:val="22"/>
                <w:lang w:val="en-US" w:eastAsia="zh-CN" w:bidi="ar"/>
              </w:rPr>
              <w:t>.</w:t>
            </w:r>
            <w:r>
              <w:rPr>
                <w:rFonts w:hint="eastAsia" w:ascii="宋体" w:hAnsi="宋体" w:eastAsia="宋体" w:cs="宋体"/>
                <w:color w:val="000000"/>
                <w:kern w:val="0"/>
                <w:sz w:val="22"/>
                <w:lang w:bidi="ar"/>
              </w:rPr>
              <w:t>7</w:t>
            </w:r>
            <w:r>
              <w:rPr>
                <w:rFonts w:hint="eastAsia" w:ascii="宋体" w:hAnsi="宋体" w:eastAsia="宋体" w:cs="宋体"/>
                <w:color w:val="000000"/>
                <w:kern w:val="0"/>
                <w:sz w:val="22"/>
                <w:lang w:val="en-US" w:eastAsia="zh-CN" w:bidi="ar"/>
              </w:rPr>
              <w:t>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122</w:t>
            </w:r>
            <w:r>
              <w:rPr>
                <w:rFonts w:hint="eastAsia" w:ascii="宋体" w:hAnsi="宋体" w:eastAsia="宋体" w:cs="宋体"/>
                <w:color w:val="000000"/>
                <w:kern w:val="0"/>
                <w:sz w:val="22"/>
                <w:lang w:val="en-US" w:eastAsia="zh-CN" w:bidi="ar"/>
              </w:rPr>
              <w:t>.70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lang w:eastAsia="zh-CN" w:bidi="ar"/>
              </w:rPr>
              <w:t>16378</w:t>
            </w:r>
            <w:r>
              <w:rPr>
                <w:rFonts w:hint="eastAsia" w:ascii="宋体" w:hAnsi="宋体" w:eastAsia="宋体" w:cs="宋体"/>
                <w:color w:val="000000"/>
                <w:kern w:val="0"/>
                <w:sz w:val="18"/>
                <w:szCs w:val="18"/>
                <w:lang w:val="en-US" w:eastAsia="zh-CN" w:bidi="ar"/>
              </w:rPr>
              <w:t>.</w:t>
            </w:r>
            <w:r>
              <w:rPr>
                <w:rFonts w:hint="eastAsia" w:ascii="宋体" w:hAnsi="宋体" w:eastAsia="宋体" w:cs="宋体"/>
                <w:color w:val="000000"/>
                <w:kern w:val="0"/>
                <w:sz w:val="18"/>
                <w:szCs w:val="18"/>
                <w:lang w:eastAsia="zh-CN" w:bidi="ar"/>
              </w:rPr>
              <w:t>3</w:t>
            </w:r>
            <w:r>
              <w:rPr>
                <w:rFonts w:hint="eastAsia" w:ascii="宋体" w:hAnsi="宋体" w:eastAsia="宋体" w:cs="宋体"/>
                <w:color w:val="000000"/>
                <w:kern w:val="0"/>
                <w:sz w:val="18"/>
                <w:szCs w:val="18"/>
                <w:lang w:val="en-US" w:eastAsia="zh-CN" w:bidi="ar"/>
              </w:rPr>
              <w:t>6</w:t>
            </w: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16396</w:t>
            </w:r>
            <w:r>
              <w:rPr>
                <w:rFonts w:hint="eastAsia" w:ascii="宋体" w:hAnsi="宋体" w:eastAsia="宋体" w:cs="宋体"/>
                <w:color w:val="000000"/>
                <w:kern w:val="0"/>
                <w:sz w:val="22"/>
                <w:lang w:val="en-US" w:eastAsia="zh-CN" w:bidi="ar"/>
              </w:rPr>
              <w:t>.</w:t>
            </w:r>
            <w:r>
              <w:rPr>
                <w:rFonts w:hint="eastAsia" w:ascii="宋体" w:hAnsi="宋体" w:eastAsia="宋体" w:cs="宋体"/>
                <w:color w:val="000000"/>
                <w:kern w:val="0"/>
                <w:sz w:val="22"/>
                <w:lang w:bidi="ar"/>
              </w:rPr>
              <w:t>5</w:t>
            </w:r>
            <w:r>
              <w:rPr>
                <w:rFonts w:hint="eastAsia" w:ascii="宋体" w:hAnsi="宋体" w:eastAsia="宋体" w:cs="宋体"/>
                <w:color w:val="000000"/>
                <w:kern w:val="0"/>
                <w:sz w:val="22"/>
                <w:lang w:val="en-US" w:eastAsia="zh-CN" w:bidi="ar"/>
              </w:rPr>
              <w:t>9</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642</w:t>
            </w:r>
            <w:r>
              <w:rPr>
                <w:rFonts w:hint="eastAsia" w:ascii="宋体" w:hAnsi="宋体" w:eastAsia="宋体" w:cs="宋体"/>
                <w:color w:val="000000"/>
                <w:kern w:val="0"/>
                <w:sz w:val="22"/>
                <w:lang w:val="en-US" w:eastAsia="zh-CN" w:bidi="ar"/>
              </w:rPr>
              <w:t>.</w:t>
            </w:r>
            <w:r>
              <w:rPr>
                <w:rFonts w:hint="eastAsia" w:ascii="宋体" w:hAnsi="宋体" w:eastAsia="宋体" w:cs="宋体"/>
                <w:color w:val="000000"/>
                <w:kern w:val="0"/>
                <w:sz w:val="22"/>
                <w:lang w:bidi="ar"/>
              </w:rPr>
              <w:t>8</w:t>
            </w:r>
            <w:r>
              <w:rPr>
                <w:rFonts w:hint="eastAsia" w:ascii="宋体" w:hAnsi="宋体" w:eastAsia="宋体" w:cs="宋体"/>
                <w:color w:val="000000"/>
                <w:kern w:val="0"/>
                <w:sz w:val="22"/>
                <w:lang w:val="en-US" w:eastAsia="zh-CN" w:bidi="ar"/>
              </w:rPr>
              <w:t>4</w:t>
            </w: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624</w:t>
            </w:r>
            <w:r>
              <w:rPr>
                <w:rFonts w:hint="eastAsia" w:ascii="宋体" w:hAnsi="宋体" w:eastAsia="宋体" w:cs="宋体"/>
                <w:color w:val="000000"/>
                <w:kern w:val="0"/>
                <w:sz w:val="22"/>
                <w:lang w:val="en-US" w:eastAsia="zh-CN" w:bidi="ar"/>
              </w:rPr>
              <w:t>.</w:t>
            </w:r>
            <w:r>
              <w:rPr>
                <w:rFonts w:hint="eastAsia" w:ascii="宋体" w:hAnsi="宋体" w:eastAsia="宋体" w:cs="宋体"/>
                <w:color w:val="000000"/>
                <w:kern w:val="0"/>
                <w:sz w:val="22"/>
                <w:lang w:bidi="ar"/>
              </w:rPr>
              <w:t>60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4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13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18"/>
                <w:szCs w:val="18"/>
                <w:lang w:bidi="ar"/>
              </w:rPr>
              <w:t>17021</w:t>
            </w:r>
            <w:r>
              <w:rPr>
                <w:rFonts w:hint="eastAsia" w:ascii="宋体" w:hAnsi="宋体" w:eastAsia="宋体" w:cs="宋体"/>
                <w:color w:val="000000"/>
                <w:kern w:val="0"/>
                <w:sz w:val="18"/>
                <w:szCs w:val="18"/>
                <w:lang w:val="en-US" w:eastAsia="zh-CN" w:bidi="ar"/>
              </w:rPr>
              <w:t>.20</w:t>
            </w:r>
            <w:r>
              <w:rPr>
                <w:rFonts w:hint="eastAsia" w:ascii="宋体" w:hAnsi="宋体" w:eastAsia="宋体" w:cs="宋体"/>
                <w:color w:val="000000"/>
                <w:kern w:val="0"/>
                <w:sz w:val="22"/>
                <w:lang w:bidi="ar"/>
              </w:rPr>
              <w:t>　</w:t>
            </w:r>
          </w:p>
        </w:tc>
        <w:tc>
          <w:tcPr>
            <w:tcW w:w="2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14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0"/>
                <w:szCs w:val="20"/>
                <w:lang w:bidi="ar"/>
              </w:rPr>
              <w:t>17021</w:t>
            </w:r>
            <w:r>
              <w:rPr>
                <w:rFonts w:hint="eastAsia" w:ascii="宋体" w:hAnsi="宋体" w:eastAsia="宋体" w:cs="宋体"/>
                <w:color w:val="000000"/>
                <w:kern w:val="0"/>
                <w:sz w:val="20"/>
                <w:szCs w:val="20"/>
                <w:lang w:val="en-US" w:eastAsia="zh-CN" w:bidi="ar"/>
              </w:rPr>
              <w:t>.</w:t>
            </w:r>
            <w:r>
              <w:rPr>
                <w:rFonts w:hint="eastAsia" w:ascii="宋体" w:hAnsi="宋体" w:eastAsia="宋体" w:cs="宋体"/>
                <w:color w:val="000000"/>
                <w:kern w:val="0"/>
                <w:sz w:val="20"/>
                <w:szCs w:val="20"/>
                <w:lang w:bidi="ar"/>
              </w:rPr>
              <w:t>19</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10291"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tbl>
            <w:tblPr>
              <w:tblStyle w:val="6"/>
              <w:tblW w:w="1025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325"/>
              <w:gridCol w:w="330"/>
              <w:gridCol w:w="240"/>
              <w:gridCol w:w="2764"/>
              <w:gridCol w:w="896"/>
              <w:gridCol w:w="5"/>
              <w:gridCol w:w="1300"/>
              <w:gridCol w:w="5"/>
              <w:gridCol w:w="850"/>
              <w:gridCol w:w="5"/>
              <w:gridCol w:w="925"/>
              <w:gridCol w:w="5"/>
              <w:gridCol w:w="775"/>
              <w:gridCol w:w="5"/>
              <w:gridCol w:w="805"/>
              <w:gridCol w:w="5"/>
              <w:gridCol w:w="1000"/>
              <w:gridCol w:w="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5" w:type="dxa"/>
                <w:trHeight w:val="255"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76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986" w:type="dxa"/>
                  <w:gridSpan w:val="7"/>
                  <w:tcBorders>
                    <w:top w:val="nil"/>
                    <w:left w:val="nil"/>
                    <w:bottom w:val="nil"/>
                    <w:right w:val="nil"/>
                  </w:tcBorders>
                  <w:shd w:val="clear" w:color="auto" w:fill="auto"/>
                  <w:noWrap/>
                  <w:tcMar>
                    <w:top w:w="15" w:type="dxa"/>
                    <w:left w:w="15" w:type="dxa"/>
                    <w:right w:w="15" w:type="dxa"/>
                  </w:tcMar>
                  <w:vAlign w:val="bottom"/>
                </w:tcPr>
                <w:p>
                  <w:pPr>
                    <w:ind w:firstLine="320" w:firstLineChars="100"/>
                    <w:jc w:val="both"/>
                    <w:rPr>
                      <w:rFonts w:hint="default" w:ascii="Arial" w:hAnsi="Arial" w:cs="Arial"/>
                      <w:i w:val="0"/>
                      <w:color w:val="000000"/>
                      <w:sz w:val="28"/>
                      <w:szCs w:val="28"/>
                      <w:u w:val="none"/>
                    </w:rPr>
                  </w:pPr>
                  <w:r>
                    <w:rPr>
                      <w:rFonts w:hint="eastAsia" w:ascii="黑体" w:hAnsi="宋体" w:eastAsia="黑体" w:cs="黑体"/>
                      <w:color w:val="000000"/>
                      <w:kern w:val="0"/>
                      <w:sz w:val="32"/>
                      <w:szCs w:val="32"/>
                      <w:lang w:val="en-US" w:eastAsia="zh-CN" w:bidi="ar"/>
                    </w:rPr>
                    <w:t>收入决算表</w:t>
                  </w:r>
                </w:p>
              </w:tc>
              <w:tc>
                <w:tcPr>
                  <w:tcW w:w="7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1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00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255"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76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30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5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1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00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90" w:hRule="atLeast"/>
              </w:trPr>
              <w:tc>
                <w:tcPr>
                  <w:tcW w:w="4560" w:type="dxa"/>
                  <w:gridSpan w:val="6"/>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部门：石家庄市藁城区退役军人事务局（汇总）</w:t>
                  </w:r>
                </w:p>
              </w:tc>
              <w:tc>
                <w:tcPr>
                  <w:tcW w:w="130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5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7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815"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65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90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本年收入合计</w:t>
                  </w:r>
                </w:p>
              </w:tc>
              <w:tc>
                <w:tcPr>
                  <w:tcW w:w="130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财政拨款收入</w:t>
                  </w:r>
                </w:p>
              </w:tc>
              <w:tc>
                <w:tcPr>
                  <w:tcW w:w="85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上级补助收入</w:t>
                  </w:r>
                </w:p>
              </w:tc>
              <w:tc>
                <w:tcPr>
                  <w:tcW w:w="93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事业收入</w:t>
                  </w:r>
                </w:p>
              </w:tc>
              <w:tc>
                <w:tcPr>
                  <w:tcW w:w="78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经营收入</w:t>
                  </w:r>
                </w:p>
              </w:tc>
              <w:tc>
                <w:tcPr>
                  <w:tcW w:w="81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附属单位上缴收入</w:t>
                  </w:r>
                </w:p>
              </w:tc>
              <w:tc>
                <w:tcPr>
                  <w:tcW w:w="100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76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0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6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6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5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3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65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9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3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8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93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c>
                <w:tcPr>
                  <w:tcW w:w="7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w:t>
                  </w:r>
                </w:p>
              </w:tc>
              <w:tc>
                <w:tcPr>
                  <w:tcW w:w="10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65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9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16378.36 </w:t>
                  </w:r>
                </w:p>
              </w:tc>
              <w:tc>
                <w:tcPr>
                  <w:tcW w:w="130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16378.36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16226.36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16226.36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20802</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民政管理事务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65.81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65.81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2080299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其他民政管理事务支出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65.81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65.81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5274.05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5274.05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2080801</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死亡抚恤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406.04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406.04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2080802</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伤残抚恤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885.00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885.00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2080803</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在乡复员、退伍军人生活补助</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2613.80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2613.80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2080804</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优抚事业单位支出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150.27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150.27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2080805</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义务兵优待</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973.03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973.03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2080899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其他优抚支出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245.90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245.90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10533.18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10533.18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2312.92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2312.92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2080902</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军队移交政府的离退休人员安置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318.00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318.00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2080903</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军队移交政府离退休干部管理机构</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166.95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166.95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2080904</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退役士兵管理教育</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70.35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70.35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2080905</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军队转业干部安置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6016.00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6016.00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2080999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其他退役安置支出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1648.95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1648.95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退役军人管理事务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259.32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259.32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2082801</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150.71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150.71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2082803</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机关服务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30.42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30.42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2082804</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拥军优属</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18.19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18.19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2082899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其他退役军人事务管理支出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60.00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60.00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20899</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94.00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94.00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2089901</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94.00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94.00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21014</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优抚对象医疗</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8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2101401</w:t>
                  </w:r>
                </w:p>
              </w:tc>
              <w:tc>
                <w:tcPr>
                  <w:tcW w:w="27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优抚对象医疗补助</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152.00 </w:t>
                  </w:r>
                </w:p>
              </w:tc>
              <w:tc>
                <w:tcPr>
                  <w:tcW w:w="85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7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00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255" w:hRule="atLeast"/>
              </w:trPr>
              <w:tc>
                <w:tcPr>
                  <w:tcW w:w="10245" w:type="dxa"/>
                  <w:gridSpan w:val="1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注：本表反映部门本年度取得的各项收入情况。</w:t>
                  </w:r>
                </w:p>
              </w:tc>
            </w:tr>
          </w:tbl>
          <w:p>
            <w:pPr>
              <w:widowControl/>
              <w:jc w:val="left"/>
              <w:textAlignment w:val="center"/>
              <w:rPr>
                <w:rFonts w:ascii="宋体" w:hAnsi="宋体" w:eastAsia="宋体" w:cs="宋体"/>
                <w:color w:val="000000"/>
                <w:kern w:val="0"/>
                <w:sz w:val="22"/>
                <w:lang w:bidi="ar"/>
              </w:rPr>
            </w:pPr>
          </w:p>
        </w:tc>
      </w:tr>
    </w:tbl>
    <w:tbl>
      <w:tblPr>
        <w:tblStyle w:val="6"/>
        <w:tblW w:w="9680" w:type="dxa"/>
        <w:jc w:val="center"/>
        <w:tblInd w:w="0" w:type="dxa"/>
        <w:tblLayout w:type="fixed"/>
        <w:tblCellMar>
          <w:top w:w="0" w:type="dxa"/>
          <w:left w:w="0" w:type="dxa"/>
          <w:bottom w:w="0" w:type="dxa"/>
          <w:right w:w="0" w:type="dxa"/>
        </w:tblCellMar>
      </w:tblPr>
      <w:tblGrid>
        <w:gridCol w:w="9680"/>
      </w:tblGrid>
      <w:tr>
        <w:tblPrEx>
          <w:tblLayout w:type="fixed"/>
          <w:tblCellMar>
            <w:top w:w="0" w:type="dxa"/>
            <w:left w:w="0" w:type="dxa"/>
            <w:bottom w:w="0" w:type="dxa"/>
            <w:right w:w="0" w:type="dxa"/>
          </w:tblCellMar>
        </w:tblPrEx>
        <w:trPr>
          <w:trHeight w:val="2653" w:hRule="atLeast"/>
          <w:jc w:val="center"/>
        </w:trPr>
        <w:tc>
          <w:tcPr>
            <w:tcW w:w="9680" w:type="dxa"/>
            <w:tcBorders>
              <w:top w:val="nil"/>
              <w:left w:val="nil"/>
              <w:bottom w:val="nil"/>
              <w:right w:val="nil"/>
            </w:tcBorders>
            <w:shd w:val="clear" w:color="auto" w:fill="auto"/>
            <w:noWrap/>
            <w:tcMar>
              <w:top w:w="15" w:type="dxa"/>
              <w:left w:w="15" w:type="dxa"/>
              <w:right w:w="15" w:type="dxa"/>
            </w:tcMar>
            <w:vAlign w:val="center"/>
          </w:tcPr>
          <w:p>
            <w:pPr>
              <w:rPr>
                <w:rFonts w:hint="eastAsia" w:ascii="Arial" w:hAnsi="Arial" w:cs="Arial"/>
                <w:i w:val="0"/>
                <w:color w:val="000000"/>
                <w:sz w:val="20"/>
                <w:szCs w:val="20"/>
                <w:u w:val="none"/>
              </w:rPr>
            </w:pPr>
          </w:p>
          <w:tbl>
            <w:tblPr>
              <w:tblStyle w:val="6"/>
              <w:tblW w:w="9125"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325"/>
              <w:gridCol w:w="330"/>
              <w:gridCol w:w="330"/>
              <w:gridCol w:w="5"/>
              <w:gridCol w:w="2489"/>
              <w:gridCol w:w="896"/>
              <w:gridCol w:w="5"/>
              <w:gridCol w:w="970"/>
              <w:gridCol w:w="5"/>
              <w:gridCol w:w="1075"/>
              <w:gridCol w:w="5"/>
              <w:gridCol w:w="955"/>
              <w:gridCol w:w="5"/>
              <w:gridCol w:w="805"/>
              <w:gridCol w:w="5"/>
              <w:gridCol w:w="910"/>
              <w:gridCol w:w="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gridAfter w:val="1"/>
                <w:wAfter w:w="5" w:type="dxa"/>
                <w:trHeight w:val="279"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49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951" w:type="dxa"/>
                  <w:gridSpan w:val="5"/>
                  <w:tcBorders>
                    <w:top w:val="nil"/>
                    <w:left w:val="nil"/>
                    <w:bottom w:val="nil"/>
                    <w:right w:val="nil"/>
                  </w:tcBorders>
                  <w:shd w:val="clear" w:color="auto" w:fill="auto"/>
                  <w:noWrap/>
                  <w:tcMar>
                    <w:top w:w="15" w:type="dxa"/>
                    <w:left w:w="15" w:type="dxa"/>
                    <w:right w:w="15" w:type="dxa"/>
                  </w:tcMar>
                  <w:vAlign w:val="bottom"/>
                </w:tcPr>
                <w:p>
                  <w:pPr>
                    <w:jc w:val="center"/>
                    <w:rPr>
                      <w:rFonts w:hint="default" w:ascii="Arial" w:hAnsi="Arial" w:cs="Arial"/>
                      <w:i w:val="0"/>
                      <w:color w:val="000000"/>
                      <w:sz w:val="20"/>
                      <w:szCs w:val="20"/>
                      <w:u w:val="none"/>
                    </w:rPr>
                  </w:pPr>
                  <w:r>
                    <w:rPr>
                      <w:rFonts w:hint="eastAsia" w:ascii="宋体" w:hAnsi="宋体" w:eastAsia="宋体" w:cs="宋体"/>
                      <w:b/>
                      <w:bCs/>
                      <w:i w:val="0"/>
                      <w:color w:val="000000"/>
                      <w:kern w:val="0"/>
                      <w:sz w:val="22"/>
                      <w:szCs w:val="22"/>
                      <w:u w:val="none"/>
                      <w:lang w:val="en-US" w:eastAsia="zh-CN" w:bidi="ar"/>
                    </w:rPr>
                    <w:t>支出决算表</w:t>
                  </w:r>
                </w:p>
              </w:tc>
              <w:tc>
                <w:tcPr>
                  <w:tcW w:w="96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1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91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237"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49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7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6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81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15"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90" w:hRule="atLeast"/>
              </w:trPr>
              <w:tc>
                <w:tcPr>
                  <w:tcW w:w="3484" w:type="dxa"/>
                  <w:gridSpan w:val="6"/>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eastAsia="宋体" w:cs="Arial"/>
                      <w:i w:val="0"/>
                      <w:color w:val="000000"/>
                      <w:sz w:val="16"/>
                      <w:szCs w:val="16"/>
                      <w:u w:val="none"/>
                      <w:lang w:val="en-US" w:eastAsia="zh-CN"/>
                    </w:rPr>
                  </w:pPr>
                  <w:r>
                    <w:rPr>
                      <w:rFonts w:hint="eastAsia" w:ascii="Arial" w:hAnsi="Arial" w:cs="Arial"/>
                      <w:i w:val="0"/>
                      <w:color w:val="000000"/>
                      <w:sz w:val="16"/>
                      <w:szCs w:val="16"/>
                      <w:u w:val="none"/>
                      <w:lang w:val="en-US" w:eastAsia="zh-CN"/>
                    </w:rPr>
                    <w:t>部门：石家庄市藁城区退役军人事务局（汇总）</w:t>
                  </w:r>
                </w:p>
              </w:tc>
              <w:tc>
                <w:tcPr>
                  <w:tcW w:w="89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7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08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6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1725"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47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90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本年支出合计</w:t>
                  </w:r>
                </w:p>
              </w:tc>
              <w:tc>
                <w:tcPr>
                  <w:tcW w:w="97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108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c>
                <w:tcPr>
                  <w:tcW w:w="96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上缴上级支出</w:t>
                  </w:r>
                </w:p>
              </w:tc>
              <w:tc>
                <w:tcPr>
                  <w:tcW w:w="81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经营支出</w:t>
                  </w:r>
                </w:p>
              </w:tc>
              <w:tc>
                <w:tcPr>
                  <w:tcW w:w="91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功能分类科目编码</w:t>
                  </w:r>
                </w:p>
              </w:tc>
              <w:tc>
                <w:tcPr>
                  <w:tcW w:w="248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科目名称</w:t>
                  </w:r>
                </w:p>
              </w:tc>
              <w:tc>
                <w:tcPr>
                  <w:tcW w:w="9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6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81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24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6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81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12"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248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0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7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108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6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81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c>
                <w:tcPr>
                  <w:tcW w:w="91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479"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栏次</w:t>
                  </w:r>
                </w:p>
              </w:tc>
              <w:tc>
                <w:tcPr>
                  <w:tcW w:w="90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97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10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96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81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5</w:t>
                  </w:r>
                </w:p>
              </w:tc>
              <w:tc>
                <w:tcPr>
                  <w:tcW w:w="9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479"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合计</w:t>
                  </w:r>
                </w:p>
              </w:tc>
              <w:tc>
                <w:tcPr>
                  <w:tcW w:w="9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16396.59 </w:t>
                  </w:r>
                </w:p>
              </w:tc>
              <w:tc>
                <w:tcPr>
                  <w:tcW w:w="97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411.96 </w:t>
                  </w:r>
                </w:p>
              </w:tc>
              <w:tc>
                <w:tcPr>
                  <w:tcW w:w="108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15984.63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b/>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16106.18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411.96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15694.22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民政管理事务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68.81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68.81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2080299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其他民政管理事务支出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68.81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68.81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5116.54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56.36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5060.17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2080801</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死亡抚恤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395.85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395.85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2080802</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伤残抚恤</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814.23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814.23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2080803</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在乡复员、退伍军人生活补助</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2552.04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2552.04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2080804</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优抚事业单位支出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134.81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56.36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78.44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2080805</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义务兵优待</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988.68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988.68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2080899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其他优抚支出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230.94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230.94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退役安置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10559.31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165.99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10393.32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2080901</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退役士兵安置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2312.92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2312.92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2080902</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军队移交政府的离退休人员安置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264.16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264.16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2080903</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军队移交政府离退休干部管理机构</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165.99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165.99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402"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2080904</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退役士兵管理教育</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45.70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45.70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2080905</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军队转业干部安置</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5972.76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5972.76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2080999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其他退役安置支出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1797.77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1797.77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20828</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退役军人管理事务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258.22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189.60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68.61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2082801</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行政运行</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149.60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149.60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2082803</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机关服务</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30.42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30.42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2082804</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拥军优属</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18.19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18.19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2082899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其他退役军人事务管理支出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60.00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40.00 </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20.00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20899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103.30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103.30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2089901</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其他社会保障和就业支出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103.30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103.30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卫生健康支出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21014</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优抚对象医疗</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2101401</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优抚对象医疗补助</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167.72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229</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122.69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122.69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22960</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彩票公益金安排的支出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122.69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5"/>
                      <w:szCs w:val="15"/>
                      <w:u w:val="none"/>
                    </w:rPr>
                  </w:pPr>
                  <w:r>
                    <w:rPr>
                      <w:rFonts w:hint="default" w:ascii="Arial" w:hAnsi="Arial" w:eastAsia="宋体" w:cs="Arial"/>
                      <w:i w:val="0"/>
                      <w:color w:val="000000"/>
                      <w:kern w:val="0"/>
                      <w:sz w:val="15"/>
                      <w:szCs w:val="15"/>
                      <w:u w:val="none"/>
                      <w:lang w:val="en-US" w:eastAsia="zh-CN" w:bidi="ar"/>
                    </w:rPr>
                    <w:t xml:space="preserve">122.69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2296002</w:t>
                  </w:r>
                </w:p>
              </w:tc>
              <w:tc>
                <w:tcPr>
                  <w:tcW w:w="24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用于社会福利的彩票公益金支出</w:t>
                  </w:r>
                </w:p>
              </w:tc>
              <w:tc>
                <w:tcPr>
                  <w:tcW w:w="90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122.69 </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122.69 </w:t>
                  </w:r>
                </w:p>
              </w:tc>
              <w:tc>
                <w:tcPr>
                  <w:tcW w:w="9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8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9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After w:val="1"/>
                <w:wAfter w:w="5" w:type="dxa"/>
                <w:trHeight w:val="255" w:hRule="atLeast"/>
              </w:trPr>
              <w:tc>
                <w:tcPr>
                  <w:tcW w:w="9120" w:type="dxa"/>
                  <w:gridSpan w:val="1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注：本表反映部门本年度各项支出情况。</w:t>
                  </w:r>
                </w:p>
              </w:tc>
            </w:tr>
          </w:tbl>
          <w:p>
            <w:pPr>
              <w:widowControl/>
              <w:jc w:val="both"/>
              <w:textAlignment w:val="center"/>
              <w:rPr>
                <w:rFonts w:ascii="黑体" w:hAnsi="宋体" w:eastAsia="黑体" w:cs="黑体"/>
                <w:color w:val="000000"/>
                <w:sz w:val="32"/>
                <w:szCs w:val="32"/>
              </w:rPr>
            </w:pPr>
          </w:p>
        </w:tc>
      </w:tr>
    </w:tbl>
    <w:p>
      <w:r>
        <w:br w:type="page"/>
      </w:r>
    </w:p>
    <w:tbl>
      <w:tblPr>
        <w:tblStyle w:val="6"/>
        <w:tblW w:w="91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3276"/>
        <w:gridCol w:w="355"/>
        <w:gridCol w:w="818"/>
        <w:gridCol w:w="1595"/>
        <w:gridCol w:w="378"/>
        <w:gridCol w:w="726"/>
        <w:gridCol w:w="842"/>
        <w:gridCol w:w="11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9" w:hRule="atLeast"/>
        </w:trPr>
        <w:tc>
          <w:tcPr>
            <w:tcW w:w="3276"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3872" w:type="dxa"/>
            <w:gridSpan w:val="5"/>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r>
              <w:rPr>
                <w:rFonts w:hint="eastAsia" w:ascii="宋体" w:hAnsi="宋体" w:eastAsia="宋体" w:cs="宋体"/>
                <w:i w:val="0"/>
                <w:color w:val="000000"/>
                <w:kern w:val="0"/>
                <w:sz w:val="28"/>
                <w:szCs w:val="28"/>
                <w:u w:val="none"/>
                <w:lang w:val="en-US" w:eastAsia="zh-CN" w:bidi="ar"/>
              </w:rPr>
              <w:t>财政拨款收入支出决算总表</w:t>
            </w:r>
          </w:p>
        </w:tc>
        <w:tc>
          <w:tcPr>
            <w:tcW w:w="84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1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2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5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1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7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42"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112"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631"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bidi="ar"/>
              </w:rPr>
              <w:t>部门：石家庄市藁城区退役军人事务局（汇总）</w:t>
            </w:r>
          </w:p>
        </w:tc>
        <w:tc>
          <w:tcPr>
            <w:tcW w:w="81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5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378"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954"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44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     入</w:t>
            </w:r>
          </w:p>
        </w:tc>
        <w:tc>
          <w:tcPr>
            <w:tcW w:w="4653"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27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8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w:t>
            </w:r>
          </w:p>
        </w:tc>
        <w:tc>
          <w:tcPr>
            <w:tcW w:w="15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3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行次</w:t>
            </w:r>
          </w:p>
        </w:tc>
        <w:tc>
          <w:tcPr>
            <w:tcW w:w="7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84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一般公共预算财政拨款</w:t>
            </w:r>
          </w:p>
        </w:tc>
        <w:tc>
          <w:tcPr>
            <w:tcW w:w="11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27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4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15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3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84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c>
          <w:tcPr>
            <w:tcW w:w="11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一、一般公共预算财政拨款</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w:t>
            </w:r>
          </w:p>
        </w:tc>
        <w:tc>
          <w:tcPr>
            <w:tcW w:w="8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16378.36 </w:t>
            </w:r>
          </w:p>
        </w:tc>
        <w:tc>
          <w:tcPr>
            <w:tcW w:w="15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一、一般公共服务支出</w:t>
            </w:r>
          </w:p>
        </w:tc>
        <w:tc>
          <w:tcPr>
            <w:tcW w:w="37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30</w:t>
            </w:r>
          </w:p>
        </w:tc>
        <w:tc>
          <w:tcPr>
            <w:tcW w:w="72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二、政府性基金预算财政拨款</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二、外交支出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31</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三、国防支出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32</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四、公共安全支出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33</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五、教育支出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34</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6</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六、科学技术支出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35</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7</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七、文化旅游体育与传媒支出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36</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8</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八、社会保障和就业支出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37</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16106.18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16106.18 </w:t>
            </w: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9</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九、卫生健康支出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38</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167.72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167.72 </w:t>
            </w: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10</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十、节能环保支出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39</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11</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十一、城乡社区支出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40</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12</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十二、农林水支出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41</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13</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十三、交通运输支出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42</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14</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十四、资源勘探信息等支出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43</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15</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十五、商业服务业等支出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44</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16</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十六、金融支出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45</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17</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十七、援助其他地区支出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46</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18</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十八、自然资源海洋气象等支出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47</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19</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十九、住房保障支出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48</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20</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二十、粮油物资储备支出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49</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21</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二十一、灾害防治及应急管理支出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50</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22</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二十二、其他支出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51</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122.69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122.69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23</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二十四、债务付息支出</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52</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2"/>
                <w:szCs w:val="12"/>
                <w:u w:val="none"/>
              </w:rPr>
            </w:pPr>
            <w:r>
              <w:rPr>
                <w:rFonts w:hint="eastAsia" w:ascii="宋体" w:hAnsi="宋体" w:eastAsia="宋体" w:cs="宋体"/>
                <w:b/>
                <w:i w:val="0"/>
                <w:color w:val="000000"/>
                <w:kern w:val="0"/>
                <w:sz w:val="12"/>
                <w:szCs w:val="12"/>
                <w:u w:val="none"/>
                <w:lang w:val="en-US" w:eastAsia="zh-CN" w:bidi="ar"/>
              </w:rPr>
              <w:t>本年收入合计</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24</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16378.36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2"/>
                <w:szCs w:val="12"/>
                <w:u w:val="none"/>
              </w:rPr>
            </w:pPr>
            <w:r>
              <w:rPr>
                <w:rFonts w:hint="eastAsia" w:ascii="宋体" w:hAnsi="宋体" w:eastAsia="宋体" w:cs="宋体"/>
                <w:b/>
                <w:i w:val="0"/>
                <w:color w:val="000000"/>
                <w:kern w:val="0"/>
                <w:sz w:val="12"/>
                <w:szCs w:val="12"/>
                <w:u w:val="none"/>
                <w:lang w:val="en-US" w:eastAsia="zh-CN" w:bidi="ar"/>
              </w:rPr>
              <w:t>本年支出合计</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53</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16396.59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16273.90 </w:t>
            </w: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122.69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年初财政拨款结转和结余</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25</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642.84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年末财政拨款结转和结余</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54</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624.60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624.60 </w:t>
            </w: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一、一般公共预算财政拨款</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26</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520.15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55</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二、政府性基金预算财政拨款</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27</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122.69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56</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28</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57</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2"/>
                <w:szCs w:val="1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0" w:hRule="atLeast"/>
        </w:trPr>
        <w:tc>
          <w:tcPr>
            <w:tcW w:w="327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2"/>
                <w:szCs w:val="12"/>
                <w:u w:val="none"/>
              </w:rPr>
            </w:pPr>
            <w:r>
              <w:rPr>
                <w:rFonts w:hint="eastAsia" w:ascii="宋体" w:hAnsi="宋体" w:eastAsia="宋体" w:cs="宋体"/>
                <w:b/>
                <w:i w:val="0"/>
                <w:color w:val="000000"/>
                <w:kern w:val="0"/>
                <w:sz w:val="12"/>
                <w:szCs w:val="12"/>
                <w:u w:val="none"/>
                <w:lang w:val="en-US" w:eastAsia="zh-CN" w:bidi="ar"/>
              </w:rPr>
              <w:t>总计</w:t>
            </w:r>
          </w:p>
        </w:tc>
        <w:tc>
          <w:tcPr>
            <w:tcW w:w="3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29</w:t>
            </w:r>
          </w:p>
        </w:tc>
        <w:tc>
          <w:tcPr>
            <w:tcW w:w="818"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17021.19 </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2"/>
                <w:szCs w:val="12"/>
                <w:u w:val="none"/>
              </w:rPr>
            </w:pPr>
            <w:r>
              <w:rPr>
                <w:rFonts w:hint="eastAsia" w:ascii="宋体" w:hAnsi="宋体" w:eastAsia="宋体" w:cs="宋体"/>
                <w:b/>
                <w:i w:val="0"/>
                <w:color w:val="000000"/>
                <w:kern w:val="0"/>
                <w:sz w:val="12"/>
                <w:szCs w:val="12"/>
                <w:u w:val="none"/>
                <w:lang w:val="en-US" w:eastAsia="zh-CN" w:bidi="ar"/>
              </w:rPr>
              <w:t>总计</w:t>
            </w:r>
          </w:p>
        </w:tc>
        <w:tc>
          <w:tcPr>
            <w:tcW w:w="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58</w:t>
            </w:r>
          </w:p>
        </w:tc>
        <w:tc>
          <w:tcPr>
            <w:tcW w:w="7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17021.19 </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16898.50 </w:t>
            </w:r>
          </w:p>
        </w:tc>
        <w:tc>
          <w:tcPr>
            <w:tcW w:w="11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2"/>
                <w:szCs w:val="12"/>
                <w:u w:val="none"/>
              </w:rPr>
            </w:pPr>
            <w:r>
              <w:rPr>
                <w:rFonts w:hint="default" w:ascii="Arial" w:hAnsi="Arial" w:eastAsia="宋体" w:cs="Arial"/>
                <w:i w:val="0"/>
                <w:color w:val="000000"/>
                <w:kern w:val="0"/>
                <w:sz w:val="12"/>
                <w:szCs w:val="12"/>
                <w:u w:val="none"/>
                <w:lang w:val="en-US" w:eastAsia="zh-CN" w:bidi="ar"/>
              </w:rPr>
              <w:t xml:space="preserve">122.69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9102"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注：本表反映部门本年度一般公共预算财政拨款和政府性基金预算财政拨款的总收支和年末结转结余情况。</w:t>
            </w:r>
          </w:p>
        </w:tc>
      </w:tr>
    </w:tbl>
    <w:p/>
    <w:tbl>
      <w:tblPr>
        <w:tblStyle w:val="6"/>
        <w:tblW w:w="9990" w:type="dxa"/>
        <w:jc w:val="center"/>
        <w:tblInd w:w="0" w:type="dxa"/>
        <w:tblLayout w:type="fixed"/>
        <w:tblCellMar>
          <w:top w:w="0" w:type="dxa"/>
          <w:left w:w="0" w:type="dxa"/>
          <w:bottom w:w="0" w:type="dxa"/>
          <w:right w:w="0" w:type="dxa"/>
        </w:tblCellMar>
      </w:tblPr>
      <w:tblGrid>
        <w:gridCol w:w="9990"/>
      </w:tblGrid>
      <w:tr>
        <w:tblPrEx>
          <w:tblLayout w:type="fixed"/>
          <w:tblCellMar>
            <w:top w:w="0" w:type="dxa"/>
            <w:left w:w="0" w:type="dxa"/>
            <w:bottom w:w="0" w:type="dxa"/>
            <w:right w:w="0" w:type="dxa"/>
          </w:tblCellMar>
        </w:tblPrEx>
        <w:trPr>
          <w:trHeight w:val="600" w:hRule="atLeast"/>
          <w:jc w:val="center"/>
        </w:trPr>
        <w:tc>
          <w:tcPr>
            <w:tcW w:w="9990" w:type="dxa"/>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hint="eastAsia"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一般公共预算财政拨款支出决算表</w:t>
            </w:r>
          </w:p>
          <w:tbl>
            <w:tblPr>
              <w:tblStyle w:val="6"/>
              <w:tblW w:w="9874"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325"/>
              <w:gridCol w:w="330"/>
              <w:gridCol w:w="330"/>
              <w:gridCol w:w="5"/>
              <w:gridCol w:w="2794"/>
              <w:gridCol w:w="951"/>
              <w:gridCol w:w="5"/>
              <w:gridCol w:w="2239"/>
              <w:gridCol w:w="28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55"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799"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5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p>
              </w:tc>
              <w:tc>
                <w:tcPr>
                  <w:tcW w:w="224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33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799"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95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24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789" w:type="dxa"/>
                  <w:gridSpan w:val="6"/>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r>
                    <w:rPr>
                      <w:rFonts w:hint="eastAsia" w:ascii="宋体" w:hAnsi="宋体" w:eastAsia="宋体" w:cs="宋体"/>
                      <w:i w:val="0"/>
                      <w:color w:val="000000"/>
                      <w:kern w:val="0"/>
                      <w:sz w:val="16"/>
                      <w:szCs w:val="16"/>
                      <w:u w:val="none"/>
                      <w:lang w:val="en-US" w:eastAsia="zh-CN" w:bidi="ar"/>
                    </w:rPr>
                    <w:t>部门：石家庄市藁城区退役军人事务局（汇总）</w:t>
                  </w:r>
                </w:p>
              </w:tc>
              <w:tc>
                <w:tcPr>
                  <w:tcW w:w="95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244"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2890"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3784"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w:t>
                  </w:r>
                </w:p>
              </w:tc>
              <w:tc>
                <w:tcPr>
                  <w:tcW w:w="6085"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功能分类科目编码</w:t>
                  </w:r>
                </w:p>
              </w:tc>
              <w:tc>
                <w:tcPr>
                  <w:tcW w:w="279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95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小计</w:t>
                  </w:r>
                </w:p>
              </w:tc>
              <w:tc>
                <w:tcPr>
                  <w:tcW w:w="22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基本支出</w:t>
                  </w:r>
                </w:p>
              </w:tc>
              <w:tc>
                <w:tcPr>
                  <w:tcW w:w="28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77"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5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7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5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378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栏次</w:t>
                  </w:r>
                </w:p>
              </w:tc>
              <w:tc>
                <w:tcPr>
                  <w:tcW w:w="95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p>
              </w:tc>
              <w:tc>
                <w:tcPr>
                  <w:tcW w:w="22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c>
                <w:tcPr>
                  <w:tcW w:w="28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378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合计</w:t>
                  </w:r>
                </w:p>
              </w:tc>
              <w:tc>
                <w:tcPr>
                  <w:tcW w:w="95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16273.90 </w:t>
                  </w:r>
                </w:p>
              </w:tc>
              <w:tc>
                <w:tcPr>
                  <w:tcW w:w="2239"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411.96 </w:t>
                  </w:r>
                </w:p>
              </w:tc>
              <w:tc>
                <w:tcPr>
                  <w:tcW w:w="28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15861.94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社会保障和就业支出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16106.18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411.96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15694.22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20802</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民政管理事务</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68.81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68.81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2080299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其他民政管理事务支出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68.81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68.81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抚恤</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5116.54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56.36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5060.17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死亡抚恤</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395.85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395.85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2080802</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伤残抚恤</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814.23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814.23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2080803</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在乡复员、退伍军人生活补助</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2552.04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2552.04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优抚事业单位支出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134.81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56.36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78.44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2080805</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义务兵优待</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988.68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988.68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2080899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其他优抚支出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230.94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230.94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退役安置</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10559.31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165.99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10393.32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退役士兵安置</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2312.92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2312.92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2080902</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军队移交政府的离退休人员安置</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264.16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264.16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2080903</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军队移交政府离退休干部管理机构</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165.99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165.99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退役士兵管理教育</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45.70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45.70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2080905</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军队转业干部安置</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5972.76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5972.76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2080999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其他退役安置支出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1797.77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1797.77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退役军人管理事务</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258.22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189.60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68.61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行政运行</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149.60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149.60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2082803</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机关服务</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30.42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30.42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2082804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拥军优属</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18.19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18.19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2082899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其他退役军人事务管理支出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60.00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40.00 </w:t>
                  </w: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20.00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20899</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其他社会保障和就业支出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103.30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103.30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2089901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其他社会保障和就业支出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103.30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103.30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卫生健康支出</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21014</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优抚对象医疗</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308" w:hRule="atLeast"/>
              </w:trPr>
              <w:tc>
                <w:tcPr>
                  <w:tcW w:w="99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2101401</w:t>
                  </w:r>
                </w:p>
              </w:tc>
              <w:tc>
                <w:tcPr>
                  <w:tcW w:w="27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优抚对象医疗补助</w:t>
                  </w:r>
                </w:p>
              </w:tc>
              <w:tc>
                <w:tcPr>
                  <w:tcW w:w="95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c>
                <w:tcPr>
                  <w:tcW w:w="2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 xml:space="preserve">167.72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8" w:hRule="atLeast"/>
              </w:trPr>
              <w:tc>
                <w:tcPr>
                  <w:tcW w:w="9874" w:type="dxa"/>
                  <w:gridSpan w:val="10"/>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注：本表反映部门本年度一般公共预算财政拨款支出情况。</w:t>
                  </w:r>
                </w:p>
              </w:tc>
            </w:tr>
          </w:tbl>
          <w:p>
            <w:pPr>
              <w:widowControl/>
              <w:jc w:val="center"/>
              <w:textAlignment w:val="center"/>
              <w:rPr>
                <w:rFonts w:hint="eastAsia" w:ascii="黑体" w:hAnsi="宋体" w:eastAsia="黑体" w:cs="黑体"/>
                <w:color w:val="000000"/>
                <w:kern w:val="0"/>
                <w:sz w:val="32"/>
                <w:szCs w:val="32"/>
                <w:lang w:bidi="ar"/>
              </w:rPr>
            </w:pPr>
          </w:p>
        </w:tc>
      </w:tr>
    </w:tbl>
    <w:tbl>
      <w:tblPr>
        <w:tblStyle w:val="6"/>
        <w:tblpPr w:leftFromText="180" w:rightFromText="180" w:vertAnchor="text" w:horzAnchor="page" w:tblpX="938" w:tblpY="-311"/>
        <w:tblOverlap w:val="never"/>
        <w:tblW w:w="10000" w:type="dxa"/>
        <w:tblInd w:w="0" w:type="dxa"/>
        <w:tblLayout w:type="fixed"/>
        <w:tblCellMar>
          <w:top w:w="0" w:type="dxa"/>
          <w:left w:w="0" w:type="dxa"/>
          <w:bottom w:w="0" w:type="dxa"/>
          <w:right w:w="0" w:type="dxa"/>
        </w:tblCellMar>
      </w:tblPr>
      <w:tblGrid>
        <w:gridCol w:w="10000"/>
      </w:tblGrid>
      <w:tr>
        <w:tblPrEx>
          <w:tblLayout w:type="fixed"/>
          <w:tblCellMar>
            <w:top w:w="0" w:type="dxa"/>
            <w:left w:w="0" w:type="dxa"/>
            <w:bottom w:w="0" w:type="dxa"/>
            <w:right w:w="0" w:type="dxa"/>
          </w:tblCellMar>
        </w:tblPrEx>
        <w:trPr>
          <w:trHeight w:val="662" w:hRule="atLeast"/>
        </w:trPr>
        <w:tc>
          <w:tcPr>
            <w:tcW w:w="10000"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hint="eastAsia" w:ascii="黑体" w:hAnsi="宋体" w:eastAsia="黑体" w:cs="黑体"/>
                <w:color w:val="000000"/>
                <w:kern w:val="0"/>
                <w:sz w:val="32"/>
                <w:szCs w:val="32"/>
                <w:lang w:bidi="ar"/>
              </w:rPr>
            </w:pPr>
            <w:r>
              <w:rPr>
                <w:rFonts w:hint="eastAsia" w:ascii="黑体" w:hAnsi="宋体" w:eastAsia="黑体" w:cs="黑体"/>
                <w:color w:val="000000"/>
                <w:kern w:val="0"/>
                <w:sz w:val="32"/>
                <w:szCs w:val="32"/>
                <w:lang w:bidi="ar"/>
              </w:rPr>
              <w:t>一般公共预算财政拨款基本支出决算表</w:t>
            </w:r>
          </w:p>
          <w:tbl>
            <w:tblPr>
              <w:tblStyle w:val="6"/>
              <w:tblW w:w="9835"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
              <w:gridCol w:w="610"/>
              <w:gridCol w:w="5"/>
              <w:gridCol w:w="1825"/>
              <w:gridCol w:w="5"/>
              <w:gridCol w:w="880"/>
              <w:gridCol w:w="5"/>
              <w:gridCol w:w="565"/>
              <w:gridCol w:w="5"/>
              <w:gridCol w:w="1670"/>
              <w:gridCol w:w="785"/>
              <w:gridCol w:w="5"/>
              <w:gridCol w:w="730"/>
              <w:gridCol w:w="5"/>
              <w:gridCol w:w="1685"/>
              <w:gridCol w:w="5"/>
              <w:gridCol w:w="10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55" w:hRule="atLeast"/>
              </w:trPr>
              <w:tc>
                <w:tcPr>
                  <w:tcW w:w="615" w:type="dxa"/>
                  <w:gridSpan w:val="2"/>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183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88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57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7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690"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050" w:type="dxa"/>
                  <w:gridSpan w:val="2"/>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5" w:hRule="atLeast"/>
              </w:trPr>
              <w:tc>
                <w:tcPr>
                  <w:tcW w:w="3900" w:type="dxa"/>
                  <w:gridSpan w:val="8"/>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18"/>
                      <w:szCs w:val="18"/>
                      <w:u w:val="none"/>
                    </w:rPr>
                  </w:pPr>
                  <w:r>
                    <w:rPr>
                      <w:rFonts w:hint="eastAsia" w:ascii="宋体" w:hAnsi="宋体" w:eastAsia="宋体" w:cs="宋体"/>
                      <w:i w:val="0"/>
                      <w:color w:val="000000"/>
                      <w:kern w:val="0"/>
                      <w:sz w:val="18"/>
                      <w:szCs w:val="18"/>
                      <w:u w:val="none"/>
                      <w:lang w:val="en-US" w:eastAsia="zh-CN" w:bidi="ar"/>
                    </w:rPr>
                    <w:t>部门：石家庄市藁城区退役军人事务局（汇总）</w:t>
                  </w:r>
                </w:p>
              </w:tc>
              <w:tc>
                <w:tcPr>
                  <w:tcW w:w="167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8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35" w:type="dxa"/>
                  <w:gridSpan w:val="2"/>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740" w:type="dxa"/>
                  <w:gridSpan w:val="4"/>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333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w:t>
                  </w:r>
                </w:p>
              </w:tc>
              <w:tc>
                <w:tcPr>
                  <w:tcW w:w="6500" w:type="dxa"/>
                  <w:gridSpan w:val="10"/>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83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88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57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6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79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c>
                <w:tcPr>
                  <w:tcW w:w="73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科目编码</w:t>
                  </w:r>
                </w:p>
              </w:tc>
              <w:tc>
                <w:tcPr>
                  <w:tcW w:w="169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科目名称</w:t>
                  </w:r>
                </w:p>
              </w:tc>
              <w:tc>
                <w:tcPr>
                  <w:tcW w:w="10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3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8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3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9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工资福利支出</w:t>
                  </w:r>
                </w:p>
              </w:tc>
              <w:tc>
                <w:tcPr>
                  <w:tcW w:w="8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300.23 </w:t>
                  </w:r>
                </w:p>
              </w:tc>
              <w:tc>
                <w:tcPr>
                  <w:tcW w:w="57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w:t>
                  </w:r>
                </w:p>
              </w:tc>
              <w:tc>
                <w:tcPr>
                  <w:tcW w:w="167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商品和服务支出</w:t>
                  </w:r>
                </w:p>
              </w:tc>
              <w:tc>
                <w:tcPr>
                  <w:tcW w:w="79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92.33 </w:t>
                  </w:r>
                </w:p>
              </w:tc>
              <w:tc>
                <w:tcPr>
                  <w:tcW w:w="73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w:t>
                  </w:r>
                </w:p>
              </w:tc>
              <w:tc>
                <w:tcPr>
                  <w:tcW w:w="168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债务利息及费用支出</w:t>
                  </w:r>
                </w:p>
              </w:tc>
              <w:tc>
                <w:tcPr>
                  <w:tcW w:w="1050"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30101</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基本工资</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85.47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30201</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办公费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31.60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30701</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国内债务付息</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30102</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津贴补贴</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19.33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30202</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印刷费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6.39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30702</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国外债务付息</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30103</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奖金</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40.25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30203</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咨询费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资本性支出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19.40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30106</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伙食补助费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30204</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手续费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31001</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房屋建筑物购建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30107</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绩效工资</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39.33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30205</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水费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0.05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31002</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办公设备购置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19.40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30108</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机关事业单位基本养老保险缴费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34.21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30206</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电费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31003</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专用设备购置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30109</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职业年金缴费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5.17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30207</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邮电费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11.03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31005</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基础设施建设</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30110</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职工基本医疗保险缴费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21.91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30208</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取暖费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1.11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31006</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大型修缮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30111</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公务员医疗补助缴费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30209</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物业管理费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31007</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信息网络及软件购置更新</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30112</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其他社会保障缴费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5.20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30211</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差旅费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23.29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31008</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物资储备</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30113</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住房公积金</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40.82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30212</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因公出国（境）费用</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31009</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土地补偿</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30114</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医疗费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30213</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维修（护）费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1.70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31010</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安置补助</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30199</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其他工资福利支出</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8.54 </w:t>
                  </w: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30214</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租赁费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0.57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31011</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地上附着物和青苗补偿</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对个人和家庭的补助</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30215</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会议费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31012</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拆迁补偿</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30301</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离休费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30216</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培训费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31013</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公务用车购置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30302</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退休费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公务接待费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31019</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其他交通工具购置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30303</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退职（役）费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30218</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专用材料费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31021</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文物和陈列品购置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30304</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抚恤金</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30224</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被装购置费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31022</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无形资产购置</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30305</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生活补助</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30225</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专用燃料费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31099</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其他资本性支出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30306</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救济费</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30226</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劳务费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2.02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其他支出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30307</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医疗费补助</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30227</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委托业务费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9.79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39906</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赠与</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30308</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助学金</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30228</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工会经费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0.45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39907</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国家赔偿费用支出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30309</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奖励金</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30229</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福利费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1.07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39908</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对民间非营利组织和群众性自治组织补贴</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30310</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个人农业生产补贴</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30231</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公务用车运行维护费</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2.20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39999</w:t>
                  </w: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其他支出</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30399</w:t>
                  </w: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其他对个人和家庭的补助</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30239</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其他交通费用</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30240</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税金及附加费用</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6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83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c>
                <w:tcPr>
                  <w:tcW w:w="5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30299</w:t>
                  </w:r>
                </w:p>
              </w:tc>
              <w:tc>
                <w:tcPr>
                  <w:tcW w:w="1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 xml:space="preserve">  其他商品和服务支出</w:t>
                  </w:r>
                </w:p>
              </w:tc>
              <w:tc>
                <w:tcPr>
                  <w:tcW w:w="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1.08 </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6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rPr>
                      <w:rFonts w:hint="default" w:ascii="Arial" w:hAnsi="Arial" w:cs="Arial"/>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gridBefore w:val="1"/>
                <w:wBefore w:w="5" w:type="dxa"/>
                <w:trHeight w:val="255" w:hRule="atLeast"/>
              </w:trPr>
              <w:tc>
                <w:tcPr>
                  <w:tcW w:w="244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人员经费合计</w:t>
                  </w:r>
                </w:p>
              </w:tc>
              <w:tc>
                <w:tcPr>
                  <w:tcW w:w="885"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300.23 </w:t>
                  </w:r>
                </w:p>
              </w:tc>
              <w:tc>
                <w:tcPr>
                  <w:tcW w:w="5450"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公用经费合计</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default" w:ascii="Arial" w:hAnsi="Arial" w:cs="Arial"/>
                      <w:i w:val="0"/>
                      <w:color w:val="000000"/>
                      <w:sz w:val="16"/>
                      <w:szCs w:val="16"/>
                      <w:u w:val="none"/>
                    </w:rPr>
                  </w:pPr>
                  <w:r>
                    <w:rPr>
                      <w:rFonts w:hint="default" w:ascii="Arial" w:hAnsi="Arial" w:eastAsia="宋体" w:cs="Arial"/>
                      <w:i w:val="0"/>
                      <w:color w:val="000000"/>
                      <w:kern w:val="0"/>
                      <w:sz w:val="16"/>
                      <w:szCs w:val="16"/>
                      <w:u w:val="none"/>
                      <w:lang w:val="en-US" w:eastAsia="zh-CN" w:bidi="ar"/>
                    </w:rPr>
                    <w:t xml:space="preserve">111.73 </w:t>
                  </w:r>
                </w:p>
              </w:tc>
            </w:tr>
          </w:tbl>
          <w:p>
            <w:pPr>
              <w:widowControl/>
              <w:jc w:val="center"/>
              <w:textAlignment w:val="center"/>
              <w:rPr>
                <w:rFonts w:hint="eastAsia" w:ascii="黑体" w:hAnsi="宋体" w:eastAsia="黑体" w:cs="黑体"/>
                <w:color w:val="000000"/>
                <w:kern w:val="0"/>
                <w:sz w:val="32"/>
                <w:szCs w:val="32"/>
                <w:lang w:bidi="ar"/>
              </w:rPr>
            </w:pPr>
          </w:p>
        </w:tc>
      </w:tr>
    </w:tbl>
    <w:p>
      <w:r>
        <w:rPr>
          <w:rFonts w:hint="eastAsia"/>
        </w:rPr>
        <w:t>注：本表反映部门本年度一般公共预算财政拨款基本支出明细情况。</w:t>
      </w:r>
    </w:p>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彩票公益金安排的支出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2296002</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用于社会福利的彩票公益金支出</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122.69</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注：本表反映部门本年度政府性基金预算财政拨款收入、支出及结转和结余情况。</w:t>
      </w:r>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部门：石家庄市藁城区退役军人事务局（汇总）</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注：本表反映部门本年度国有资本经营预算财政拨款支出情况。本部门本年度无相关支出情况，按要求以空表列示。</w:t>
      </w:r>
      <w:r>
        <w:br w:type="page"/>
      </w:r>
    </w:p>
    <w:p>
      <w:r>
        <mc:AlternateContent>
          <mc:Choice Requires="wps">
            <w:drawing>
              <wp:anchor distT="0" distB="0" distL="114300" distR="114300" simplePos="0" relativeHeight="25167564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564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7147DC"/>
    <w:multiLevelType w:val="singleLevel"/>
    <w:tmpl w:val="2E7147DC"/>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pPr>
        <w:ind w:left="-430"/>
      </w:pPr>
    </w:lvl>
  </w:abstractNum>
  <w:abstractNum w:abstractNumId="3">
    <w:nsid w:val="750A8224"/>
    <w:multiLevelType w:val="singleLevel"/>
    <w:tmpl w:val="750A8224"/>
    <w:lvl w:ilvl="0" w:tentative="0">
      <w:start w:val="1"/>
      <w:numFmt w:val="chineseCounting"/>
      <w:suff w:val="nothing"/>
      <w:lvlText w:val="%1、"/>
      <w:lvlJc w:val="left"/>
      <w:rPr>
        <w:rFonts w:hint="eastAsi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7C3474E"/>
    <w:rsid w:val="0809451E"/>
    <w:rsid w:val="0B011416"/>
    <w:rsid w:val="0CE52A98"/>
    <w:rsid w:val="19652DAF"/>
    <w:rsid w:val="1ABA1D79"/>
    <w:rsid w:val="20F46AF4"/>
    <w:rsid w:val="21D65502"/>
    <w:rsid w:val="2BEC65C5"/>
    <w:rsid w:val="2D3554FA"/>
    <w:rsid w:val="31C2036A"/>
    <w:rsid w:val="320D02A5"/>
    <w:rsid w:val="339550B2"/>
    <w:rsid w:val="33CF6201"/>
    <w:rsid w:val="348E566F"/>
    <w:rsid w:val="35D404E7"/>
    <w:rsid w:val="3A226944"/>
    <w:rsid w:val="3A9745CA"/>
    <w:rsid w:val="3AEE6A48"/>
    <w:rsid w:val="3B437609"/>
    <w:rsid w:val="3BA25B5B"/>
    <w:rsid w:val="3C1620AA"/>
    <w:rsid w:val="3C8C2CB5"/>
    <w:rsid w:val="3C9A0D6A"/>
    <w:rsid w:val="3D8F080F"/>
    <w:rsid w:val="3EA1183D"/>
    <w:rsid w:val="3F8C47BF"/>
    <w:rsid w:val="40920E1F"/>
    <w:rsid w:val="44CE1FA4"/>
    <w:rsid w:val="46CC09EB"/>
    <w:rsid w:val="471A0EF0"/>
    <w:rsid w:val="487F73ED"/>
    <w:rsid w:val="494854B6"/>
    <w:rsid w:val="4A347EAE"/>
    <w:rsid w:val="4FD666B8"/>
    <w:rsid w:val="52600405"/>
    <w:rsid w:val="529B4319"/>
    <w:rsid w:val="56D446BD"/>
    <w:rsid w:val="57773DD6"/>
    <w:rsid w:val="578B79AB"/>
    <w:rsid w:val="586B385F"/>
    <w:rsid w:val="588E3A99"/>
    <w:rsid w:val="5A560323"/>
    <w:rsid w:val="5CCD3FD5"/>
    <w:rsid w:val="61FA5F9D"/>
    <w:rsid w:val="62082D6A"/>
    <w:rsid w:val="64B24BC5"/>
    <w:rsid w:val="64CD6910"/>
    <w:rsid w:val="65B61260"/>
    <w:rsid w:val="66E24490"/>
    <w:rsid w:val="6789158D"/>
    <w:rsid w:val="67D81BA4"/>
    <w:rsid w:val="68DE1563"/>
    <w:rsid w:val="6AAF1C96"/>
    <w:rsid w:val="6BB91A23"/>
    <w:rsid w:val="6C3B6DA8"/>
    <w:rsid w:val="6EED67BD"/>
    <w:rsid w:val="70786264"/>
    <w:rsid w:val="7081298B"/>
    <w:rsid w:val="75681757"/>
    <w:rsid w:val="75A346A8"/>
    <w:rsid w:val="75B82581"/>
    <w:rsid w:val="76510278"/>
    <w:rsid w:val="781763A0"/>
    <w:rsid w:val="78E367A6"/>
    <w:rsid w:val="79B9382C"/>
    <w:rsid w:val="7B043B76"/>
    <w:rsid w:val="7C041A6A"/>
    <w:rsid w:val="7C4D7292"/>
    <w:rsid w:val="7E141B20"/>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Normal]"/>
    <w:qFormat/>
    <w:uiPriority w:val="0"/>
    <w:rPr>
      <w:rFonts w:ascii="宋体" w:hAnsi="Times New Roman" w:eastAsia="宋体" w:cs="Times New Roman"/>
      <w:sz w:val="24"/>
      <w:lang w:val="en-US" w:eastAsia="en-US" w:bidi="ar-SA"/>
    </w:rPr>
  </w:style>
  <w:style w:type="character" w:customStyle="1" w:styleId="13">
    <w:name w:val="font41"/>
    <w:basedOn w:val="8"/>
    <w:qFormat/>
    <w:uiPriority w:val="0"/>
    <w:rPr>
      <w:rFonts w:hint="eastAsia" w:ascii="宋体" w:hAnsi="宋体" w:eastAsia="宋体" w:cs="宋体"/>
      <w:b/>
      <w:color w:val="000000"/>
      <w:sz w:val="12"/>
      <w:szCs w:val="12"/>
      <w:u w:val="none"/>
    </w:rPr>
  </w:style>
  <w:style w:type="character" w:customStyle="1" w:styleId="14">
    <w:name w:val="font11"/>
    <w:basedOn w:val="8"/>
    <w:qFormat/>
    <w:uiPriority w:val="0"/>
    <w:rPr>
      <w:rFonts w:hint="eastAsia" w:ascii="宋体" w:hAnsi="宋体" w:eastAsia="宋体" w:cs="宋体"/>
      <w:color w:val="000000"/>
      <w:sz w:val="12"/>
      <w:szCs w:val="12"/>
      <w:u w:val="none"/>
    </w:rPr>
  </w:style>
  <w:style w:type="character" w:customStyle="1" w:styleId="15">
    <w:name w:val="font01"/>
    <w:basedOn w:val="8"/>
    <w:qFormat/>
    <w:uiPriority w:val="0"/>
    <w:rPr>
      <w:rFonts w:hint="eastAsia" w:ascii="宋体" w:hAnsi="宋体" w:eastAsia="宋体" w:cs="宋体"/>
      <w:color w:val="000000"/>
      <w:sz w:val="12"/>
      <w:szCs w:val="12"/>
      <w:u w:val="none"/>
    </w:rPr>
  </w:style>
  <w:style w:type="character" w:customStyle="1" w:styleId="16">
    <w:name w:val="font61"/>
    <w:basedOn w:val="8"/>
    <w:qFormat/>
    <w:uiPriority w:val="0"/>
    <w:rPr>
      <w:rFonts w:hint="eastAsia" w:ascii="宋体" w:hAnsi="宋体" w:eastAsia="宋体" w:cs="宋体"/>
      <w:color w:val="000000"/>
      <w:sz w:val="12"/>
      <w:szCs w:val="12"/>
      <w:u w:val="none"/>
    </w:rPr>
  </w:style>
  <w:style w:type="character" w:customStyle="1" w:styleId="17">
    <w:name w:val="font132"/>
    <w:basedOn w:val="8"/>
    <w:qFormat/>
    <w:uiPriority w:val="0"/>
    <w:rPr>
      <w:rFonts w:hint="eastAsia" w:ascii="宋体" w:hAnsi="宋体" w:eastAsia="宋体" w:cs="宋体"/>
      <w:color w:val="000000"/>
      <w:sz w:val="32"/>
      <w:szCs w:val="32"/>
      <w:u w:val="none"/>
    </w:rPr>
  </w:style>
  <w:style w:type="character" w:customStyle="1" w:styleId="18">
    <w:name w:val="font51"/>
    <w:basedOn w:val="8"/>
    <w:qFormat/>
    <w:uiPriority w:val="0"/>
    <w:rPr>
      <w:rFonts w:hint="eastAsia" w:ascii="宋体" w:hAnsi="宋体" w:eastAsia="宋体" w:cs="宋体"/>
      <w:color w:val="000000"/>
      <w:sz w:val="20"/>
      <w:szCs w:val="20"/>
      <w:u w:val="none"/>
    </w:rPr>
  </w:style>
  <w:style w:type="character" w:customStyle="1" w:styleId="19">
    <w:name w:val="font91"/>
    <w:basedOn w:val="8"/>
    <w:qFormat/>
    <w:uiPriority w:val="0"/>
    <w:rPr>
      <w:rFonts w:hint="eastAsia" w:ascii="宋体" w:hAnsi="宋体" w:eastAsia="宋体" w:cs="宋体"/>
      <w:color w:val="000000"/>
      <w:sz w:val="20"/>
      <w:szCs w:val="20"/>
      <w:u w:val="none"/>
    </w:rPr>
  </w:style>
  <w:style w:type="character" w:customStyle="1" w:styleId="20">
    <w:name w:val="font141"/>
    <w:basedOn w:val="8"/>
    <w:qFormat/>
    <w:uiPriority w:val="0"/>
    <w:rPr>
      <w:rFonts w:hint="eastAsia" w:ascii="宋体" w:hAnsi="宋体" w:eastAsia="宋体" w:cs="宋体"/>
      <w:color w:val="000000"/>
      <w:sz w:val="18"/>
      <w:szCs w:val="18"/>
      <w:u w:val="none"/>
    </w:rPr>
  </w:style>
  <w:style w:type="character" w:customStyle="1" w:styleId="21">
    <w:name w:val="font81"/>
    <w:basedOn w:val="8"/>
    <w:qFormat/>
    <w:uiPriority w:val="0"/>
    <w:rPr>
      <w:rFonts w:hint="eastAsia" w:ascii="宋体" w:hAnsi="宋体" w:eastAsia="宋体" w:cs="宋体"/>
      <w:b/>
      <w:color w:val="000000"/>
      <w:sz w:val="32"/>
      <w:szCs w:val="32"/>
      <w:u w:val="none"/>
    </w:rPr>
  </w:style>
  <w:style w:type="character" w:customStyle="1" w:styleId="22">
    <w:name w:val="font31"/>
    <w:basedOn w:val="8"/>
    <w:qFormat/>
    <w:uiPriority w:val="0"/>
    <w:rPr>
      <w:rFonts w:hint="eastAsia" w:ascii="宋体" w:hAnsi="宋体" w:eastAsia="宋体" w:cs="宋体"/>
      <w:color w:val="000000"/>
      <w:sz w:val="32"/>
      <w:szCs w:val="32"/>
      <w:u w:val="none"/>
    </w:rPr>
  </w:style>
  <w:style w:type="character" w:customStyle="1" w:styleId="23">
    <w:name w:val="font71"/>
    <w:basedOn w:val="8"/>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190658398205568"/>
          <c:y val="0.0431457148460482"/>
          <c:w val="0.614724897743766"/>
          <c:h val="0.913708570307904"/>
        </c:manualLayout>
      </c:layout>
      <c:pie3DChart>
        <c:varyColors val="1"/>
        <c:ser>
          <c:idx val="0"/>
          <c:order val="0"/>
          <c:tx>
            <c:strRef>
              <c:f>Sheet1!$B$1</c:f>
              <c:strCache>
                <c:ptCount val="1"/>
                <c:pt idx="0">
                  <c:v>列1</c:v>
                </c:pt>
              </c:strCache>
            </c:strRef>
          </c:tx>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Pt>
            <c:idx val="3"/>
            <c:bubble3D val="0"/>
            <c:spPr>
              <a:solidFill>
                <a:schemeClr val="accent4"/>
              </a:solidFill>
              <a:ln w="25400">
                <a:solidFill>
                  <a:schemeClr val="lt1"/>
                </a:solidFill>
              </a:ln>
              <a:effectLst/>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上年结转</c:v>
                </c:pt>
                <c:pt idx="1">
                  <c:v>财政拨款收入</c:v>
                </c:pt>
              </c:strCache>
            </c:strRef>
          </c:cat>
          <c:val>
            <c:numRef>
              <c:f>Sheet1!$B$2:$B$5</c:f>
              <c:numCache>
                <c:formatCode>0.00%</c:formatCode>
                <c:ptCount val="4"/>
                <c:pt idx="0">
                  <c:v>0.0378</c:v>
                </c:pt>
                <c:pt idx="1">
                  <c:v>0.9622</c:v>
                </c:pt>
              </c:numCache>
            </c:numRef>
          </c:val>
        </c:ser>
        <c:dLbls>
          <c:showLegendKey val="0"/>
          <c:showVal val="1"/>
          <c:showCatName val="1"/>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26991333058192"/>
          <c:y val="0.0534029649595687"/>
          <c:w val="0.882789929839042"/>
          <c:h val="0.909535040431267"/>
        </c:manualLayout>
      </c:layout>
      <c:pie3DChart>
        <c:varyColors val="1"/>
        <c:ser>
          <c:idx val="0"/>
          <c:order val="0"/>
          <c:tx>
            <c:strRef>
              <c:f>Sheet1!$B$1</c:f>
              <c:strCache>
                <c:ptCount val="1"/>
                <c:pt idx="0">
                  <c:v>列1</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Pt>
            <c:idx val="3"/>
            <c:bubble3D val="0"/>
            <c:spPr>
              <a:solidFill>
                <a:schemeClr val="accent4"/>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项目支出</c:v>
                </c:pt>
                <c:pt idx="1">
                  <c:v>卫生健康</c:v>
                </c:pt>
                <c:pt idx="2">
                  <c:v>其他</c:v>
                </c:pt>
              </c:strCache>
            </c:strRef>
          </c:cat>
          <c:val>
            <c:numRef>
              <c:f>Sheet1!$B$2:$B$5</c:f>
              <c:numCache>
                <c:formatCode>0.00%</c:formatCode>
                <c:ptCount val="4"/>
                <c:pt idx="0">
                  <c:v>0.9823</c:v>
                </c:pt>
                <c:pt idx="1">
                  <c:v>0.0102</c:v>
                </c:pt>
                <c:pt idx="2">
                  <c:v>0.0075</c:v>
                </c:pt>
              </c:numCache>
            </c:numRef>
          </c:val>
        </c:ser>
        <c:dLbls>
          <c:showLegendKey val="0"/>
          <c:showVal val="0"/>
          <c:showCatName val="0"/>
          <c:showSerName val="0"/>
          <c:showPercent val="1"/>
          <c:showBubbleSize val="0"/>
        </c:dLbls>
      </c:pie3D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图</a:t>
            </a:r>
            <a:r>
              <a:rPr lang="en-US" altLang="zh-CN"/>
              <a:t>3</a:t>
            </a:r>
            <a:r>
              <a:rPr altLang="en-US"/>
              <a:t>：财政拨款收支与年初预算数对比情况</a:t>
            </a:r>
            <a:endParaRPr lang="en-US" altLang="zh-CN"/>
          </a:p>
        </c:rich>
      </c:tx>
      <c:layout/>
      <c:overlay val="0"/>
      <c:spPr>
        <a:noFill/>
        <a:ln>
          <a:noFill/>
        </a:ln>
        <a:effectLst/>
      </c:spPr>
    </c:title>
    <c:autoTitleDeleted val="0"/>
    <c:plotArea>
      <c:layout>
        <c:manualLayout>
          <c:layoutTarget val="inner"/>
          <c:xMode val="edge"/>
          <c:yMode val="edge"/>
          <c:x val="0.039626855866509"/>
          <c:y val="0.184122827898119"/>
          <c:w val="0.922270398108001"/>
          <c:h val="0.686479409664366"/>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elete val="1"/>
          </c:dLbls>
          <c:cat>
            <c:strRef>
              <c:f>Sheet1!$A$2:$A$3</c:f>
              <c:strCache>
                <c:ptCount val="2"/>
                <c:pt idx="0">
                  <c:v>公共预算财政拨款收入</c:v>
                </c:pt>
                <c:pt idx="1">
                  <c:v>本年支出</c:v>
                </c:pt>
              </c:strCache>
            </c:strRef>
          </c:cat>
          <c:val>
            <c:numRef>
              <c:f>Sheet1!$B$2:$B$3</c:f>
              <c:numCache>
                <c:formatCode>General</c:formatCode>
                <c:ptCount val="2"/>
                <c:pt idx="0">
                  <c:v>11308.55</c:v>
                </c:pt>
                <c:pt idx="1">
                  <c:v>11308.55</c:v>
                </c:pt>
              </c:numCache>
            </c:numRef>
          </c:val>
        </c:ser>
        <c:ser>
          <c:idx val="1"/>
          <c:order val="1"/>
          <c:tx>
            <c:strRef>
              <c:f>Sheet1!$C$1</c:f>
              <c:strCache>
                <c:ptCount val="1"/>
                <c:pt idx="0">
                  <c:v>决算数</c:v>
                </c:pt>
              </c:strCache>
            </c:strRef>
          </c:tx>
          <c:spPr>
            <a:solidFill>
              <a:schemeClr val="accent2"/>
            </a:solidFill>
            <a:ln>
              <a:noFill/>
            </a:ln>
            <a:effectLst/>
          </c:spPr>
          <c:invertIfNegative val="0"/>
          <c:dLbls>
            <c:delete val="1"/>
          </c:dLbls>
          <c:cat>
            <c:strRef>
              <c:f>Sheet1!$A$2:$A$3</c:f>
              <c:strCache>
                <c:ptCount val="2"/>
                <c:pt idx="0">
                  <c:v>公共预算财政拨款收入</c:v>
                </c:pt>
                <c:pt idx="1">
                  <c:v>本年支出</c:v>
                </c:pt>
              </c:strCache>
            </c:strRef>
          </c:cat>
          <c:val>
            <c:numRef>
              <c:f>Sheet1!$C$2:$C$3</c:f>
              <c:numCache>
                <c:formatCode>General</c:formatCode>
                <c:ptCount val="2"/>
                <c:pt idx="0">
                  <c:v>16378.36</c:v>
                </c:pt>
                <c:pt idx="1">
                  <c:v>16396.59</c:v>
                </c:pt>
              </c:numCache>
            </c:numRef>
          </c:val>
        </c:ser>
        <c:ser>
          <c:idx val="2"/>
          <c:order val="2"/>
          <c:tx>
            <c:strRef>
              <c:f>Sheet1!#REF!</c:f>
              <c:strCache>
                <c:ptCount val="1"/>
                <c:pt idx="0">
                  <c:v/>
                </c:pt>
              </c:strCache>
            </c:strRef>
          </c:tx>
          <c:spPr>
            <a:solidFill>
              <a:schemeClr val="accent3"/>
            </a:solidFill>
            <a:ln>
              <a:noFill/>
            </a:ln>
            <a:effectLst/>
          </c:spPr>
          <c:invertIfNegative val="0"/>
          <c:dLbls>
            <c:delete val="1"/>
          </c:dLbls>
          <c:cat>
            <c:strRef>
              <c:f>Sheet1!$A$2:$A$3</c:f>
              <c:strCache>
                <c:ptCount val="2"/>
                <c:pt idx="0">
                  <c:v>公共预算财政拨款收入</c:v>
                </c:pt>
                <c:pt idx="1">
                  <c:v>本年支出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657796825"/>
        <c:axId val="587953082"/>
      </c:barChart>
      <c:catAx>
        <c:axId val="6577968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953082"/>
        <c:crosses val="autoZero"/>
        <c:auto val="1"/>
        <c:lblAlgn val="ctr"/>
        <c:lblOffset val="100"/>
        <c:noMultiLvlLbl val="0"/>
      </c:catAx>
      <c:valAx>
        <c:axId val="58795308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577968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136743609061333"/>
          <c:y val="0.0842895787535827"/>
          <c:w val="0.882789929839042"/>
          <c:h val="0.909535040431267"/>
        </c:manualLayout>
      </c:layout>
      <c:pie3DChart>
        <c:varyColors val="1"/>
        <c:ser>
          <c:idx val="0"/>
          <c:order val="0"/>
          <c:tx>
            <c:strRef>
              <c:f>Sheet1!$B$1</c:f>
              <c:strCache>
                <c:ptCount val="1"/>
                <c:pt idx="0">
                  <c:v>列1</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c:spPr>
          </c:dPt>
          <c:dPt>
            <c:idx val="1"/>
            <c:bubble3D val="0"/>
            <c:spPr>
              <a:solidFill>
                <a:schemeClr val="accent2"/>
              </a:solidFill>
              <a:ln w="25400">
                <a:solidFill>
                  <a:schemeClr val="lt1"/>
                </a:solidFill>
              </a:ln>
              <a:effectLst/>
            </c:spPr>
          </c:dPt>
          <c:dPt>
            <c:idx val="2"/>
            <c:bubble3D val="0"/>
            <c:spPr>
              <a:solidFill>
                <a:schemeClr val="accent3"/>
              </a:solidFill>
              <a:ln w="25400">
                <a:solidFill>
                  <a:schemeClr val="lt1"/>
                </a:solidFill>
              </a:ln>
              <a:effectLst/>
            </c:spPr>
          </c:dPt>
          <c:dPt>
            <c:idx val="3"/>
            <c:bubble3D val="0"/>
            <c:spPr>
              <a:solidFill>
                <a:schemeClr val="accent4"/>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项目支出</c:v>
                </c:pt>
                <c:pt idx="1">
                  <c:v>卫生健康</c:v>
                </c:pt>
                <c:pt idx="2">
                  <c:v>其他</c:v>
                </c:pt>
              </c:strCache>
            </c:strRef>
          </c:cat>
          <c:val>
            <c:numRef>
              <c:f>Sheet1!$B$2:$B$5</c:f>
              <c:numCache>
                <c:formatCode>0.00%</c:formatCode>
                <c:ptCount val="4"/>
                <c:pt idx="0">
                  <c:v>0.9823</c:v>
                </c:pt>
                <c:pt idx="1">
                  <c:v>0.0102</c:v>
                </c:pt>
                <c:pt idx="2">
                  <c:v>0.0075</c:v>
                </c:pt>
              </c:numCache>
            </c:numRef>
          </c:val>
        </c:ser>
        <c:dLbls>
          <c:showLegendKey val="0"/>
          <c:showVal val="0"/>
          <c:showCatName val="0"/>
          <c:showSerName val="0"/>
          <c:showPercent val="1"/>
          <c:showBubbleSize val="0"/>
        </c:dLbls>
      </c:pie3D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0</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2021-07-05T08:32:50Z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