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石家庄市藁城区审计局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财务收支；有关社会保障基金、社会捐赠资金和其他基金、资金的财务收支；上级授权审计的国际组织和外国政府援助、贷款项目的财务收支；法律法规规定的其他事项。</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（五）按规定对区管党政主要领导干部及其他单位主要负责人实施经济责任审计和自然资源资产离任审计。</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（六）组织实施对财经法律法规、规章、政策和宏观调控措施执行情况、财政预算管理及国有资产管理使用等与财政收支有关的特定事项进行专项审计调查。</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（七）依法检查审计决定执行情况，督促整改审计查出的问题，依法办理被审计单位对审计决定提请行政复议、行政诉讼或区政府裁决中的有关事项；协助配合有关部门查处相关重大案件。</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（八）指导和监督内部审计工作，核查社会审计机构对依法属于审计监督对象的单位出具的相关审计报告。</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（九）会同区委机构编制委员会办公室，对党政机关及直属事业机构的机构设置、编制使用，以及有关机构编制规定的执行情况进行审计调查。</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（十）组织开展审计领域的交流与合作，负责审计信息系统建设，指导和推广信息技术在审计领域的应用。</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eastAsia="仿宋_GB2312" w:cs="ArialUnicodeMS"/>
          <w:kern w:val="0"/>
          <w:sz w:val="32"/>
          <w:szCs w:val="32"/>
          <w:highlight w:val="none"/>
        </w:rPr>
        <w:t>（十一）完成区委、区政府和上级审计机关交办的其他任务。（部门职责，是指本单位“三定”方案规定的部门职责</w:t>
      </w:r>
      <w:r>
        <w:rPr>
          <w:rFonts w:hint="eastAsia" w:ascii="仿宋_GB2312" w:hAnsi="Calibri" w:eastAsia="仿宋_GB2312" w:cs="ArialUnicodeMS"/>
          <w:kern w:val="0"/>
          <w:sz w:val="32"/>
          <w:szCs w:val="32"/>
          <w:highlight w:val="none"/>
        </w:rPr>
        <w:t>情况。各部门可从经批准的“三定”方案和相关文件中提取有关信息，可参照部门预算中对职责的描述情况予以公开）</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afterLines="0" w:line="560" w:lineRule="exact"/>
              <w:jc w:val="center"/>
              <w:rPr>
                <w:rFonts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1</w:t>
            </w:r>
          </w:p>
        </w:tc>
        <w:tc>
          <w:tcPr>
            <w:tcW w:w="3485" w:type="dxa"/>
            <w:vAlign w:val="top"/>
          </w:tcPr>
          <w:p>
            <w:pPr>
              <w:spacing w:after="0" w:afterLines="0" w:line="560" w:lineRule="exact"/>
              <w:rPr>
                <w:rFonts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石家庄市藁城区审计局</w:t>
            </w:r>
          </w:p>
        </w:tc>
        <w:tc>
          <w:tcPr>
            <w:tcW w:w="2445" w:type="dxa"/>
            <w:vAlign w:val="top"/>
          </w:tcPr>
          <w:p>
            <w:pPr>
              <w:spacing w:after="0" w:afterLines="0" w:line="560" w:lineRule="exact"/>
              <w:jc w:val="center"/>
              <w:rPr>
                <w:rFonts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行政单位</w:t>
            </w:r>
          </w:p>
        </w:tc>
        <w:tc>
          <w:tcPr>
            <w:tcW w:w="2665" w:type="dxa"/>
            <w:vAlign w:val="top"/>
          </w:tcPr>
          <w:p>
            <w:pPr>
              <w:spacing w:after="0" w:afterLines="0" w:line="560" w:lineRule="exact"/>
              <w:jc w:val="center"/>
              <w:rPr>
                <w:rFonts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377.33</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91.41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31.97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新入职人员多</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377.33</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377.33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375.10</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309.01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82.38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66.10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17.62</w:t>
      </w:r>
      <w:r>
        <w:rPr>
          <w:rFonts w:hint="eastAsia" w:ascii="仿宋_GB2312" w:hAnsi="Times New Roman" w:eastAsia="仿宋_GB2312" w:cs="DengXian-Regular"/>
          <w:sz w:val="32"/>
          <w:szCs w:val="32"/>
        </w:rPr>
        <w:t>%。如图所示：</w:t>
      </w:r>
    </w:p>
    <w:p>
      <w:pPr>
        <w:adjustRightInd w:val="0"/>
        <w:snapToGrid w:val="0"/>
        <w:spacing w:line="240" w:lineRule="auto"/>
        <w:ind w:firstLine="640" w:firstLineChars="200"/>
        <w:jc w:val="center"/>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inline distT="0" distB="0" distL="114300" distR="114300">
            <wp:extent cx="3772535" cy="2823845"/>
            <wp:effectExtent l="0" t="0" r="6985" b="10795"/>
            <wp:docPr id="30" name="图片 30" descr="图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图1"/>
                    <pic:cNvPicPr>
                      <a:picLocks noChangeAspect="1"/>
                    </pic:cNvPicPr>
                  </pic:nvPicPr>
                  <pic:blipFill>
                    <a:blip r:embed="rId29"/>
                    <a:stretch>
                      <a:fillRect/>
                    </a:stretch>
                  </pic:blipFill>
                  <pic:spPr>
                    <a:xfrm>
                      <a:off x="0" y="0"/>
                      <a:ext cx="3772535" cy="2823845"/>
                    </a:xfrm>
                    <a:prstGeom prst="rect">
                      <a:avLst/>
                    </a:prstGeom>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377.33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101.17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36.63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新入职人员多</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375.10</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89.18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31.19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新入职人员多</w:t>
      </w:r>
      <w:r>
        <w:rPr>
          <w:rFonts w:hint="eastAsia" w:ascii="仿宋_GB2312" w:hAnsi="Times New Roman" w:eastAsia="仿宋_GB2312" w:cs="DengXian-Regular"/>
          <w:sz w:val="32"/>
          <w:szCs w:val="32"/>
        </w:rPr>
        <w:t>。如图所示：</w:t>
      </w:r>
    </w:p>
    <w:p>
      <w:pPr>
        <w:adjustRightInd w:val="0"/>
        <w:snapToGrid w:val="0"/>
        <w:spacing w:line="240" w:lineRule="auto"/>
        <w:ind w:firstLine="640" w:firstLineChars="200"/>
        <w:jc w:val="center"/>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inline distT="0" distB="0" distL="114300" distR="114300">
            <wp:extent cx="4091940" cy="3064510"/>
            <wp:effectExtent l="0" t="0" r="7620" b="13970"/>
            <wp:docPr id="31" name="图片 31" descr="图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图2"/>
                    <pic:cNvPicPr>
                      <a:picLocks noChangeAspect="1"/>
                    </pic:cNvPicPr>
                  </pic:nvPicPr>
                  <pic:blipFill>
                    <a:blip r:embed="rId30"/>
                    <a:stretch>
                      <a:fillRect/>
                    </a:stretch>
                  </pic:blipFill>
                  <pic:spPr>
                    <a:xfrm>
                      <a:off x="0" y="0"/>
                      <a:ext cx="4091940" cy="3064510"/>
                    </a:xfrm>
                    <a:prstGeom prst="rect">
                      <a:avLst/>
                    </a:prstGeom>
                  </pic:spPr>
                </pic:pic>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377.33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92.25</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31.71</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val="en-US" w:eastAsia="zh-CN"/>
        </w:rPr>
        <w:t>罚没收入减少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375.10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91.70</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33.94</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val="en-US" w:eastAsia="zh-CN"/>
        </w:rPr>
        <w:t>收入减少</w:t>
      </w:r>
      <w:r>
        <w:rPr>
          <w:rFonts w:hint="eastAsia" w:ascii="仿宋_GB2312" w:hAnsi="Times New Roman" w:eastAsia="仿宋_GB2312" w:cs="DengXian-Regular"/>
          <w:sz w:val="32"/>
          <w:szCs w:val="32"/>
        </w:rPr>
        <w:t>。</w:t>
      </w:r>
    </w:p>
    <w:p>
      <w:pPr>
        <w:adjustRightInd w:val="0"/>
        <w:snapToGrid w:val="0"/>
        <w:spacing w:line="240" w:lineRule="auto"/>
        <w:ind w:firstLine="640" w:firstLineChars="200"/>
        <w:jc w:val="center"/>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4244340" cy="3181350"/>
            <wp:effectExtent l="0" t="0" r="7620" b="3810"/>
            <wp:docPr id="32" name="图片 32" descr="图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图3"/>
                    <pic:cNvPicPr>
                      <a:picLocks noChangeAspect="1"/>
                    </pic:cNvPicPr>
                  </pic:nvPicPr>
                  <pic:blipFill>
                    <a:blip r:embed="rId31"/>
                    <a:stretch>
                      <a:fillRect/>
                    </a:stretch>
                  </pic:blipFill>
                  <pic:spPr>
                    <a:xfrm>
                      <a:off x="0" y="0"/>
                      <a:ext cx="4244340" cy="3181350"/>
                    </a:xfrm>
                    <a:prstGeom prst="rect">
                      <a:avLst/>
                    </a:prstGeom>
                  </pic:spPr>
                </pic:pic>
              </a:graphicData>
            </a:graphic>
          </wp:inline>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375.10</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highlight w:val="none"/>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375.10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375.10</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281.52</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27.49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 “三公”经费支出共计0.00万元，较年初预算增加（减少）0.00万元，增长（降低）0%，主要是未发</w:t>
      </w:r>
      <w:r>
        <w:rPr>
          <w:rFonts w:hint="eastAsia" w:ascii="仿宋_GB2312" w:eastAsia="仿宋_GB2312" w:cs="DengXian-Regular"/>
          <w:color w:val="000000"/>
          <w:sz w:val="32"/>
          <w:szCs w:val="32"/>
        </w:rPr>
        <w:t>生“三公”经费支出</w:t>
      </w:r>
      <w:r>
        <w:rPr>
          <w:rFonts w:hint="eastAsia" w:ascii="仿宋_GB2312" w:eastAsia="仿宋_GB2312" w:cs="DengXian-Regular"/>
          <w:sz w:val="32"/>
          <w:szCs w:val="32"/>
        </w:rPr>
        <w:t>。具体情况如下：</w:t>
      </w:r>
    </w:p>
    <w:p>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（一）因公出国（境）费支出0.00万元。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年度因公出国（境）团组0个、共0人/参加其他单位组织的因公出国（境）团组0个、共0人/无本单位组织的出国（境）团组。因公出国（境）费支出较年初预算增加（减少）0.00万元，增长（降低）0.0%，主要是</w:t>
      </w:r>
      <w:r>
        <w:rPr>
          <w:rFonts w:hint="eastAsia" w:ascii="仿宋_GB2312" w:eastAsia="仿宋_GB2312" w:cs="DengXian-Regular"/>
          <w:color w:val="000000"/>
          <w:sz w:val="32"/>
          <w:szCs w:val="32"/>
        </w:rPr>
        <w:t>未发生“</w:t>
      </w:r>
      <w:r>
        <w:rPr>
          <w:rFonts w:hint="eastAsia" w:ascii="楷体_GB2312" w:eastAsia="楷体_GB2312" w:cs="DengXian-Bold"/>
          <w:bCs/>
          <w:sz w:val="32"/>
          <w:szCs w:val="32"/>
        </w:rPr>
        <w:t>因公出国（境）</w:t>
      </w:r>
      <w:r>
        <w:rPr>
          <w:rFonts w:hint="eastAsia" w:ascii="仿宋_GB2312" w:eastAsia="仿宋_GB2312" w:cs="DengXian-Regular"/>
          <w:color w:val="000000"/>
          <w:sz w:val="32"/>
          <w:szCs w:val="32"/>
        </w:rPr>
        <w:t>”经费支出</w:t>
      </w:r>
      <w:r>
        <w:rPr>
          <w:rFonts w:hint="eastAsia" w:ascii="仿宋_GB2312" w:eastAsia="仿宋_GB2312" w:cs="DengXian-Regular"/>
          <w:sz w:val="32"/>
          <w:szCs w:val="32"/>
        </w:rPr>
        <w:t>。</w:t>
      </w:r>
    </w:p>
    <w:p>
      <w:pPr>
        <w:adjustRightInd w:val="0"/>
        <w:snapToGrid w:val="0"/>
        <w:spacing w:after="0" w:afterLines="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（二）公务用车购置及运行维护费支出0.00万元。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年度公务用车购置及运行维护费较年初预算减少0.00万元，降低0.0%，主要是</w:t>
      </w:r>
      <w:r>
        <w:rPr>
          <w:rFonts w:hint="eastAsia" w:ascii="仿宋_GB2312" w:eastAsia="仿宋_GB2312" w:cs="DengXian-Regular"/>
          <w:color w:val="000000"/>
          <w:sz w:val="32"/>
          <w:szCs w:val="32"/>
        </w:rPr>
        <w:t>未发生“</w:t>
      </w:r>
      <w:r>
        <w:rPr>
          <w:rFonts w:hint="eastAsia" w:ascii="楷体_GB2312" w:eastAsia="楷体_GB2312" w:cs="DengXian-Bold"/>
          <w:bCs/>
          <w:sz w:val="32"/>
          <w:szCs w:val="32"/>
        </w:rPr>
        <w:t>公务用车购置及运行维护费</w:t>
      </w:r>
      <w:r>
        <w:rPr>
          <w:rFonts w:hint="eastAsia" w:ascii="仿宋_GB2312" w:eastAsia="仿宋_GB2312" w:cs="DengXian-Regular"/>
          <w:color w:val="000000"/>
          <w:sz w:val="32"/>
          <w:szCs w:val="32"/>
        </w:rPr>
        <w:t>”经费支出</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年度公务用车购置量0辆，发生“公务用车购置”经费支出0.00万元。公务用车购置费支出较年初预算增加（减少）0.00万元，增长（降低）0.0%,主要是</w:t>
      </w:r>
      <w:r>
        <w:rPr>
          <w:rFonts w:hint="eastAsia" w:ascii="仿宋_GB2312" w:eastAsia="仿宋_GB2312" w:cs="DengXian-Regular"/>
          <w:color w:val="000000"/>
          <w:sz w:val="32"/>
          <w:szCs w:val="32"/>
        </w:rPr>
        <w:t>未发生“公务用车购置”经费支出</w:t>
      </w:r>
      <w:r>
        <w:rPr>
          <w:rFonts w:hint="eastAsia" w:ascii="仿宋_GB2312" w:eastAsia="仿宋_GB2312" w:cs="DengXian-Regular"/>
          <w:sz w:val="32"/>
          <w:szCs w:val="32"/>
        </w:rPr>
        <w:t>。</w:t>
      </w:r>
    </w:p>
    <w:p>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年度单位公务用车保有量0辆。公车运行维护费支出较年初预算增加（减少）0.00万元，增长（降低）0.0%,主要是</w:t>
      </w:r>
      <w:r>
        <w:rPr>
          <w:rFonts w:hint="eastAsia" w:ascii="仿宋_GB2312" w:eastAsia="仿宋_GB2312" w:cs="DengXian-Regular"/>
          <w:color w:val="000000"/>
          <w:sz w:val="32"/>
          <w:szCs w:val="32"/>
        </w:rPr>
        <w:t>未发生“</w:t>
      </w:r>
      <w:r>
        <w:rPr>
          <w:rFonts w:hint="eastAsia" w:ascii="仿宋_GB2312" w:eastAsia="仿宋_GB2312" w:cs="DengXian-Regular"/>
          <w:sz w:val="32"/>
          <w:szCs w:val="32"/>
        </w:rPr>
        <w:t>公务用车运行维护</w:t>
      </w:r>
      <w:r>
        <w:rPr>
          <w:rFonts w:hint="eastAsia" w:ascii="仿宋_GB2312" w:eastAsia="仿宋_GB2312" w:cs="DengXian-Regular"/>
          <w:color w:val="000000"/>
          <w:sz w:val="32"/>
          <w:szCs w:val="32"/>
        </w:rPr>
        <w:t>”经费支出</w:t>
      </w:r>
      <w:r>
        <w:rPr>
          <w:rFonts w:hint="eastAsia" w:ascii="仿宋_GB2312" w:eastAsia="仿宋_GB2312" w:cs="DengXian-Regular"/>
          <w:sz w:val="32"/>
          <w:szCs w:val="32"/>
        </w:rPr>
        <w:t>。</w:t>
      </w:r>
    </w:p>
    <w:p>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（三）公务接待费支出0.00万元。</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年度公务接待共0批次、0人次。公务接待费支出较年初预算增加（减少）0.00万元，增长（降低）0.0%,主要是</w:t>
      </w:r>
      <w:r>
        <w:rPr>
          <w:rFonts w:hint="eastAsia" w:ascii="仿宋_GB2312" w:eastAsia="仿宋_GB2312" w:cs="DengXian-Regular"/>
          <w:color w:val="000000"/>
          <w:sz w:val="32"/>
          <w:szCs w:val="32"/>
        </w:rPr>
        <w:t>未发生“</w:t>
      </w:r>
      <w:r>
        <w:rPr>
          <w:rFonts w:hint="eastAsia" w:ascii="楷体_GB2312" w:eastAsia="楷体_GB2312" w:cs="DengXian-Bold"/>
          <w:bCs/>
          <w:sz w:val="32"/>
          <w:szCs w:val="32"/>
        </w:rPr>
        <w:t>公务接待</w:t>
      </w:r>
      <w:r>
        <w:rPr>
          <w:rFonts w:hint="eastAsia" w:ascii="仿宋_GB2312" w:eastAsia="仿宋_GB2312" w:cs="DengXian-Regular"/>
          <w:color w:val="000000"/>
          <w:sz w:val="32"/>
          <w:szCs w:val="32"/>
        </w:rPr>
        <w:t>”经费支出</w:t>
      </w:r>
      <w:r>
        <w:rPr>
          <w:rFonts w:hint="eastAsia" w:ascii="仿宋_GB2312"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66.10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17.62%</w:t>
      </w:r>
      <w:r>
        <w:rPr>
          <w:rFonts w:hint="eastAsia" w:ascii="仿宋_GB2312" w:hAnsi="仿宋_GB2312" w:eastAsia="仿宋_GB2312" w:cs="仿宋_GB2312"/>
          <w:sz w:val="32"/>
          <w:szCs w:val="32"/>
        </w:rPr>
        <w:t>。组织对“审计署项目审计业务”“本级审计业务”</w:t>
      </w:r>
      <w:r>
        <w:rPr>
          <w:rFonts w:hint="eastAsia" w:ascii="仿宋_GB2312" w:hAnsi="仿宋_GB2312" w:eastAsia="仿宋_GB2312" w:cs="仿宋_GB2312"/>
          <w:sz w:val="32"/>
          <w:szCs w:val="32"/>
          <w:lang w:eastAsia="zh-CN"/>
        </w:rPr>
        <w:t>“委托中介机构、聘请专业人员参与国家建设项目审计”“审计管理业务”“网络运行维护费”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66.10</w:t>
      </w:r>
      <w:r>
        <w:rPr>
          <w:rFonts w:hint="eastAsia" w:ascii="仿宋_GB2312" w:hAnsi="仿宋_GB2312" w:eastAsia="仿宋_GB2312" w:cs="仿宋_GB2312"/>
          <w:sz w:val="32"/>
          <w:szCs w:val="32"/>
        </w:rPr>
        <w:t>万元。从评价情况来看，</w:t>
      </w:r>
      <w:r>
        <w:rPr>
          <w:rFonts w:hint="eastAsia" w:ascii="仿宋_GB2312" w:eastAsia="仿宋_GB2312" w:cs="DengXian-Regular"/>
          <w:sz w:val="32"/>
          <w:szCs w:val="32"/>
        </w:rPr>
        <w:t>评价结果为优秀的项目有</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个</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“审计署项目审计业务”“本级审计业务”</w:t>
      </w:r>
      <w:r>
        <w:rPr>
          <w:rFonts w:hint="eastAsia" w:ascii="仿宋_GB2312" w:hAnsi="仿宋_GB2312" w:eastAsia="仿宋_GB2312" w:cs="仿宋_GB2312"/>
          <w:sz w:val="32"/>
          <w:szCs w:val="32"/>
          <w:lang w:eastAsia="zh-CN"/>
        </w:rPr>
        <w:t>“委托中介机构、聘请专业人员参与国家建设项目审计”“审计管理业务”“网络运行维护费”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62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rPr>
        <w:t>审计署项目审计业务项目自评综述：根据年初设定的绩效目标，审计署项目审计业务项目绩效自评得分为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万元，执行数为5.4445万元，完成预算的54.45%。项目绩效目标完成情况：一是</w:t>
      </w:r>
      <w:r>
        <w:rPr>
          <w:rFonts w:hint="eastAsia" w:ascii="仿宋" w:hAnsi="仿宋" w:eastAsia="仿宋"/>
          <w:sz w:val="32"/>
          <w:szCs w:val="32"/>
        </w:rPr>
        <w:t>开展审计署安排项目审计的单位数量</w:t>
      </w:r>
      <w:r>
        <w:rPr>
          <w:rFonts w:hint="eastAsia" w:ascii="仿宋" w:hAnsi="仿宋" w:eastAsia="仿宋"/>
          <w:sz w:val="32"/>
          <w:szCs w:val="32"/>
          <w:lang w:val="en-US" w:eastAsia="zh-CN"/>
        </w:rPr>
        <w:t>大于4家</w:t>
      </w:r>
      <w:r>
        <w:rPr>
          <w:rFonts w:hint="eastAsia" w:ascii="仿宋_GB2312" w:hAnsi="仿宋_GB2312" w:eastAsia="仿宋_GB2312" w:cs="仿宋_GB2312"/>
          <w:sz w:val="32"/>
          <w:szCs w:val="32"/>
        </w:rPr>
        <w:t>；二是</w:t>
      </w:r>
      <w:r>
        <w:rPr>
          <w:rFonts w:hint="eastAsia" w:ascii="仿宋" w:hAnsi="仿宋" w:eastAsia="仿宋"/>
          <w:sz w:val="32"/>
          <w:szCs w:val="32"/>
          <w:lang w:val="en-US" w:eastAsia="zh-CN"/>
        </w:rPr>
        <w:t>形成的审计报告数量大于4份</w:t>
      </w: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项目预算比较薄弱，预算的计划性，科学性不强，消弱了预算的约束控制力</w:t>
      </w:r>
      <w:r>
        <w:rPr>
          <w:rFonts w:hint="eastAsia" w:ascii="仿宋" w:hAnsi="仿宋" w:eastAsia="仿宋"/>
          <w:sz w:val="32"/>
          <w:szCs w:val="32"/>
          <w:lang w:eastAsia="zh-CN"/>
        </w:rPr>
        <w:t>。</w:t>
      </w:r>
      <w:r>
        <w:rPr>
          <w:rFonts w:hint="eastAsia" w:ascii="仿宋_GB2312" w:hAnsi="仿宋_GB2312" w:eastAsia="仿宋_GB2312" w:cs="仿宋_GB2312"/>
          <w:sz w:val="32"/>
          <w:szCs w:val="32"/>
        </w:rPr>
        <w:t>下一步改进措施：</w:t>
      </w:r>
      <w:r>
        <w:rPr>
          <w:rFonts w:hint="eastAsia" w:ascii="仿宋" w:hAnsi="仿宋" w:eastAsia="仿宋"/>
          <w:sz w:val="32"/>
          <w:szCs w:val="32"/>
        </w:rPr>
        <w:t>严格预算管理标准，提高预算绩效指标。</w:t>
      </w:r>
    </w:p>
    <w:tbl>
      <w:tblPr>
        <w:tblStyle w:val="6"/>
        <w:tblpPr w:leftFromText="180" w:rightFromText="180" w:vertAnchor="text" w:horzAnchor="page" w:tblpX="817" w:tblpY="1283"/>
        <w:tblOverlap w:val="never"/>
        <w:tblW w:w="109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6"/>
        <w:gridCol w:w="2230"/>
        <w:gridCol w:w="990"/>
        <w:gridCol w:w="1362"/>
        <w:gridCol w:w="648"/>
        <w:gridCol w:w="1317"/>
        <w:gridCol w:w="1276"/>
        <w:gridCol w:w="1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94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94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94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2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4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82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审计署项目审计业务</w:t>
            </w:r>
          </w:p>
        </w:tc>
        <w:tc>
          <w:tcPr>
            <w:tcW w:w="6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5.4445</w:t>
            </w:r>
          </w:p>
        </w:tc>
        <w:tc>
          <w:tcPr>
            <w:tcW w:w="15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5.4445</w:t>
            </w: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58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58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通过审计,维护国家财政经济秩序，促进廉政建设,保障国民经济健康发展。</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0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（70分）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开展审计署安排项目审计的单位数量</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大于等于4家</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大于4家</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形成的审计报告数量</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大于等于4份</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大于4份</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已整改问题数量占发现问题总数的比率</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2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36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审计工作稳步进行。</w:t>
            </w:r>
          </w:p>
        </w:tc>
      </w:tr>
    </w:tbl>
    <w:p>
      <w:pPr>
        <w:numPr>
          <w:ilvl w:val="0"/>
          <w:numId w:val="0"/>
        </w:numPr>
        <w:adjustRightInd w:val="0"/>
        <w:snapToGrid w:val="0"/>
        <w:spacing w:line="620" w:lineRule="exact"/>
        <w:rPr>
          <w:rFonts w:hint="eastAsia" w:ascii="仿宋" w:hAnsi="仿宋" w:eastAsia="仿宋"/>
          <w:sz w:val="32"/>
          <w:szCs w:val="32"/>
        </w:rPr>
      </w:pPr>
    </w:p>
    <w:p>
      <w:pPr>
        <w:numPr>
          <w:ilvl w:val="0"/>
          <w:numId w:val="2"/>
        </w:numPr>
        <w:adjustRightInd w:val="0"/>
        <w:snapToGrid w:val="0"/>
        <w:spacing w:line="620" w:lineRule="exact"/>
        <w:ind w:left="0" w:leftChars="0" w:firstLine="640" w:firstLineChars="200"/>
        <w:rPr>
          <w:rFonts w:hint="eastAsia" w:ascii="仿宋" w:hAnsi="仿宋" w:eastAsia="仿宋"/>
          <w:sz w:val="32"/>
          <w:szCs w:val="32"/>
        </w:rPr>
      </w:pPr>
      <w:r>
        <w:rPr>
          <w:rFonts w:hint="eastAsia" w:ascii="仿宋_GB2312" w:hAnsi="仿宋_GB2312" w:eastAsia="仿宋_GB2312" w:cs="仿宋_GB2312"/>
          <w:sz w:val="32"/>
          <w:szCs w:val="32"/>
        </w:rPr>
        <w:t>本级审计业务项目绩效自评综述：根据年初设定的绩效目标，本级审计业务项目绩效自评得分为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21.507</w:t>
      </w:r>
      <w:r>
        <w:rPr>
          <w:rFonts w:hint="eastAsia" w:ascii="仿宋_GB2312" w:hAnsi="仿宋_GB2312" w:eastAsia="仿宋_GB2312" w:cs="仿宋_GB2312"/>
          <w:sz w:val="32"/>
          <w:szCs w:val="32"/>
        </w:rPr>
        <w:t>万元，完成预算的86.0</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%。项目绩效目标完成情况：一是</w:t>
      </w:r>
      <w:r>
        <w:rPr>
          <w:rFonts w:hint="eastAsia" w:ascii="仿宋" w:hAnsi="仿宋" w:eastAsia="仿宋"/>
          <w:sz w:val="32"/>
          <w:szCs w:val="32"/>
        </w:rPr>
        <w:t>开展预算执行审计、金融机构审计等的单位数量</w:t>
      </w:r>
      <w:r>
        <w:rPr>
          <w:rFonts w:hint="eastAsia" w:ascii="仿宋" w:hAnsi="仿宋" w:eastAsia="仿宋"/>
          <w:sz w:val="32"/>
          <w:szCs w:val="32"/>
          <w:lang w:val="en-US" w:eastAsia="zh-CN"/>
        </w:rPr>
        <w:t>大于10个</w:t>
      </w:r>
      <w:r>
        <w:rPr>
          <w:rFonts w:hint="eastAsia" w:ascii="仿宋_GB2312" w:hAnsi="仿宋_GB2312" w:eastAsia="仿宋_GB2312" w:cs="仿宋_GB2312"/>
          <w:sz w:val="32"/>
          <w:szCs w:val="32"/>
        </w:rPr>
        <w:t>；二是</w:t>
      </w:r>
      <w:r>
        <w:rPr>
          <w:rFonts w:hint="eastAsia" w:ascii="仿宋" w:hAnsi="仿宋" w:eastAsia="仿宋"/>
          <w:sz w:val="32"/>
          <w:szCs w:val="32"/>
          <w:lang w:val="en-US" w:eastAsia="zh-CN"/>
        </w:rPr>
        <w:t>形成的审计报告数量大于10份</w:t>
      </w: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项目预算比较薄弱，预算的计划性，科学性不强，消弱了预算的约束控制力</w:t>
      </w:r>
      <w:r>
        <w:rPr>
          <w:rFonts w:hint="eastAsia" w:ascii="仿宋" w:hAnsi="仿宋" w:eastAsia="仿宋"/>
          <w:sz w:val="32"/>
          <w:szCs w:val="32"/>
          <w:lang w:eastAsia="zh-CN"/>
        </w:rPr>
        <w:t>。</w:t>
      </w:r>
      <w:r>
        <w:rPr>
          <w:rFonts w:hint="eastAsia" w:ascii="仿宋_GB2312" w:hAnsi="仿宋_GB2312" w:eastAsia="仿宋_GB2312" w:cs="仿宋_GB2312"/>
          <w:sz w:val="32"/>
          <w:szCs w:val="32"/>
        </w:rPr>
        <w:t>下一步改进措施：</w:t>
      </w:r>
      <w:r>
        <w:rPr>
          <w:rFonts w:hint="eastAsia" w:ascii="仿宋" w:hAnsi="仿宋" w:eastAsia="仿宋"/>
          <w:sz w:val="32"/>
          <w:szCs w:val="32"/>
        </w:rPr>
        <w:t>严格预算管理标准，提高预算绩效指标。</w:t>
      </w:r>
    </w:p>
    <w:tbl>
      <w:tblPr>
        <w:tblStyle w:val="6"/>
        <w:tblpPr w:leftFromText="180" w:rightFromText="180" w:vertAnchor="text" w:horzAnchor="page" w:tblpX="967" w:tblpY="63"/>
        <w:tblOverlap w:val="never"/>
        <w:tblW w:w="1072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6"/>
        <w:gridCol w:w="2230"/>
        <w:gridCol w:w="990"/>
        <w:gridCol w:w="1206"/>
        <w:gridCol w:w="588"/>
        <w:gridCol w:w="1317"/>
        <w:gridCol w:w="1276"/>
        <w:gridCol w:w="1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729"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729"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729"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2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8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82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本级审计业务</w:t>
            </w:r>
          </w:p>
        </w:tc>
        <w:tc>
          <w:tcPr>
            <w:tcW w:w="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21.507</w:t>
            </w:r>
          </w:p>
        </w:tc>
        <w:tc>
          <w:tcPr>
            <w:tcW w:w="15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21.507</w:t>
            </w: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42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66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通过审计,维护国家财政经济秩序，促进廉政建设,保障国民经济健康发展。</w:t>
            </w:r>
          </w:p>
        </w:tc>
        <w:tc>
          <w:tcPr>
            <w:tcW w:w="31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8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（70分）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开展预算执行审计、金融机构审计等的单位数量</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大于等于10个</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大于10个</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0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形成的审计报告数量</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大于等于10份</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大于10份</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6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已整改问题数量占发现问题总数的比率</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15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审计工作稳步进行。</w:t>
            </w:r>
          </w:p>
        </w:tc>
      </w:tr>
    </w:tbl>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2"/>
        </w:numPr>
        <w:adjustRightInd w:val="0"/>
        <w:snapToGrid w:val="0"/>
        <w:spacing w:line="620" w:lineRule="exact"/>
        <w:ind w:left="0" w:leftChars="0"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委托中介机构、聘请专业人员参与国家建设项目审计</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委托中介机构、聘请专业人员参与国家建设</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22.903</w:t>
      </w:r>
      <w:r>
        <w:rPr>
          <w:rFonts w:hint="eastAsia" w:ascii="仿宋_GB2312" w:hAnsi="仿宋_GB2312" w:eastAsia="仿宋_GB2312" w:cs="仿宋_GB2312"/>
          <w:sz w:val="32"/>
          <w:szCs w:val="32"/>
        </w:rPr>
        <w:t>万元，完成预算的57.2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%。项目绩效目标完成情况：</w:t>
      </w:r>
      <w:r>
        <w:rPr>
          <w:rFonts w:hint="eastAsia" w:ascii="仿宋" w:hAnsi="仿宋" w:eastAsia="仿宋"/>
          <w:sz w:val="32"/>
          <w:szCs w:val="32"/>
        </w:rPr>
        <w:t>实际开展监督检查的对象数量占应监管对象总数的比率</w:t>
      </w:r>
      <w:r>
        <w:rPr>
          <w:rFonts w:hint="eastAsia" w:ascii="仿宋" w:hAnsi="仿宋" w:eastAsia="仿宋"/>
          <w:sz w:val="32"/>
          <w:szCs w:val="32"/>
          <w:lang w:val="en-US" w:eastAsia="zh-CN"/>
        </w:rPr>
        <w:t>达到100%</w:t>
      </w: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项目预算比较薄弱，预算的计划性，科学性不强，消弱了预算的约束控制力。</w:t>
      </w:r>
      <w:r>
        <w:rPr>
          <w:rFonts w:hint="eastAsia" w:ascii="仿宋_GB2312" w:hAnsi="仿宋_GB2312" w:eastAsia="仿宋_GB2312" w:cs="仿宋_GB2312"/>
          <w:sz w:val="32"/>
          <w:szCs w:val="32"/>
        </w:rPr>
        <w:t>下一步改进措施：</w:t>
      </w:r>
      <w:r>
        <w:rPr>
          <w:rFonts w:hint="eastAsia" w:ascii="仿宋" w:hAnsi="仿宋" w:eastAsia="仿宋"/>
          <w:sz w:val="32"/>
          <w:szCs w:val="32"/>
        </w:rPr>
        <w:t>严格预算管理标准，提高预算绩效指标。</w:t>
      </w:r>
    </w:p>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0"/>
        </w:numPr>
        <w:adjustRightInd w:val="0"/>
        <w:snapToGrid w:val="0"/>
        <w:spacing w:line="620" w:lineRule="exact"/>
        <w:ind w:leftChars="200"/>
        <w:rPr>
          <w:rFonts w:hint="eastAsia" w:ascii="仿宋" w:hAnsi="仿宋" w:eastAsia="仿宋"/>
          <w:sz w:val="32"/>
          <w:szCs w:val="32"/>
        </w:rPr>
      </w:pPr>
    </w:p>
    <w:tbl>
      <w:tblPr>
        <w:tblStyle w:val="6"/>
        <w:tblpPr w:leftFromText="180" w:rightFromText="180" w:vertAnchor="text" w:horzAnchor="page" w:tblpX="1297" w:tblpY="499"/>
        <w:tblOverlap w:val="never"/>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16"/>
        <w:gridCol w:w="1439"/>
        <w:gridCol w:w="1415"/>
        <w:gridCol w:w="1868"/>
        <w:gridCol w:w="466"/>
        <w:gridCol w:w="850"/>
        <w:gridCol w:w="823"/>
        <w:gridCol w:w="9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1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43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c>
          <w:tcPr>
            <w:tcW w:w="14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6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46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2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委托中介机构、聘请专业人员参与国家建设项目审计</w:t>
            </w:r>
          </w:p>
        </w:tc>
        <w:tc>
          <w:tcPr>
            <w:tcW w:w="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6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22.903</w:t>
            </w:r>
          </w:p>
        </w:tc>
        <w:tc>
          <w:tcPr>
            <w:tcW w:w="9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8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22.903</w:t>
            </w: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4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72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0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72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通过审计国家建设项目,促进廉政建设,保障国民经济健康发展。</w:t>
            </w:r>
          </w:p>
        </w:tc>
        <w:tc>
          <w:tcPr>
            <w:tcW w:w="2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0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（30分）</w:t>
            </w:r>
          </w:p>
        </w:tc>
        <w:tc>
          <w:tcPr>
            <w:tcW w:w="14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实际开展监督检查的对象数量占应监管对象总数的比率</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大于等于70%</w:t>
            </w:r>
          </w:p>
        </w:tc>
        <w:tc>
          <w:tcPr>
            <w:tcW w:w="8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（70分）</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通过审计工程决算审减工程造价所挽回的经济损失金额</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大于等于0.8万元</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大于0.8万</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9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已整改问题数量占发现问题总数的比率</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大于等于80%</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86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85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审计工作稳步进行。</w:t>
            </w:r>
          </w:p>
        </w:tc>
      </w:tr>
    </w:tbl>
    <w:p>
      <w:pPr>
        <w:numPr>
          <w:ilvl w:val="0"/>
          <w:numId w:val="0"/>
        </w:numPr>
        <w:adjustRightInd w:val="0"/>
        <w:snapToGrid w:val="0"/>
        <w:spacing w:line="620" w:lineRule="exact"/>
        <w:rPr>
          <w:rFonts w:hint="eastAsia" w:ascii="仿宋" w:hAnsi="仿宋" w:eastAsia="仿宋"/>
          <w:sz w:val="32"/>
          <w:szCs w:val="32"/>
        </w:rPr>
      </w:pPr>
    </w:p>
    <w:p>
      <w:pPr>
        <w:numPr>
          <w:ilvl w:val="0"/>
          <w:numId w:val="0"/>
        </w:numPr>
        <w:adjustRightInd w:val="0"/>
        <w:snapToGrid w:val="0"/>
        <w:spacing w:line="620" w:lineRule="exact"/>
        <w:rPr>
          <w:rFonts w:hint="eastAsia" w:ascii="仿宋" w:hAnsi="仿宋" w:eastAsia="仿宋"/>
          <w:sz w:val="32"/>
          <w:szCs w:val="32"/>
        </w:rPr>
      </w:pPr>
    </w:p>
    <w:p>
      <w:pPr>
        <w:numPr>
          <w:ilvl w:val="0"/>
          <w:numId w:val="2"/>
        </w:numPr>
        <w:adjustRightInd w:val="0"/>
        <w:snapToGrid w:val="0"/>
        <w:spacing w:line="620" w:lineRule="exact"/>
        <w:ind w:left="0" w:leftChars="0"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审计管理业务项目审计</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审计管理业务</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万元，完成预算的13.7</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w:t>
      </w:r>
      <w:r>
        <w:rPr>
          <w:rFonts w:hint="eastAsia" w:ascii="仿宋" w:hAnsi="仿宋" w:eastAsia="仿宋"/>
          <w:sz w:val="32"/>
          <w:szCs w:val="32"/>
        </w:rPr>
        <w:t>实际开展监督检查的对象数量占应监管对象总数的比率</w:t>
      </w:r>
      <w:r>
        <w:rPr>
          <w:rFonts w:hint="eastAsia" w:ascii="仿宋" w:hAnsi="仿宋" w:eastAsia="仿宋"/>
          <w:sz w:val="32"/>
          <w:szCs w:val="32"/>
          <w:lang w:val="en-US" w:eastAsia="zh-CN"/>
        </w:rPr>
        <w:t>达到100%</w:t>
      </w: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项目预算比较薄弱，预算的计划性，科学性不强，消弱了预算的约束控制力。</w:t>
      </w:r>
      <w:r>
        <w:rPr>
          <w:rFonts w:hint="eastAsia" w:ascii="仿宋_GB2312" w:hAnsi="仿宋_GB2312" w:eastAsia="仿宋_GB2312" w:cs="仿宋_GB2312"/>
          <w:sz w:val="32"/>
          <w:szCs w:val="32"/>
        </w:rPr>
        <w:t>下一步改进措施：</w:t>
      </w:r>
      <w:r>
        <w:rPr>
          <w:rFonts w:hint="eastAsia" w:ascii="仿宋" w:hAnsi="仿宋" w:eastAsia="仿宋"/>
          <w:sz w:val="32"/>
          <w:szCs w:val="32"/>
        </w:rPr>
        <w:t>严格预算管理标准，提高预算绩效指标。</w:t>
      </w:r>
    </w:p>
    <w:p>
      <w:pPr>
        <w:numPr>
          <w:numId w:val="0"/>
        </w:numPr>
        <w:adjustRightInd w:val="0"/>
        <w:snapToGrid w:val="0"/>
        <w:spacing w:line="620" w:lineRule="exact"/>
        <w:ind w:leftChars="200"/>
        <w:rPr>
          <w:rFonts w:hint="eastAsia" w:ascii="仿宋" w:hAnsi="仿宋" w:eastAsia="仿宋"/>
          <w:sz w:val="32"/>
          <w:szCs w:val="32"/>
        </w:rPr>
      </w:pPr>
    </w:p>
    <w:tbl>
      <w:tblPr>
        <w:tblStyle w:val="6"/>
        <w:tblpPr w:leftFromText="180" w:rightFromText="180" w:vertAnchor="text" w:horzAnchor="page" w:tblpX="607" w:tblpY="658"/>
        <w:tblOverlap w:val="never"/>
        <w:tblW w:w="1072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6"/>
        <w:gridCol w:w="2230"/>
        <w:gridCol w:w="990"/>
        <w:gridCol w:w="1206"/>
        <w:gridCol w:w="588"/>
        <w:gridCol w:w="1317"/>
        <w:gridCol w:w="1276"/>
        <w:gridCol w:w="15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729"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729"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729"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2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8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82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审计管理业务</w:t>
            </w:r>
          </w:p>
        </w:tc>
        <w:tc>
          <w:tcPr>
            <w:tcW w:w="5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54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2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42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64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通过建立健全法规，加大内部审计管理制度,提高审计质量和审计机关法制管理水平。</w:t>
            </w:r>
          </w:p>
        </w:tc>
        <w:tc>
          <w:tcPr>
            <w:tcW w:w="31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5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22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0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实际开展监督检查的对象数量占应监管对象总数的比率</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大于等于70%</w:t>
            </w:r>
          </w:p>
        </w:tc>
        <w:tc>
          <w:tcPr>
            <w:tcW w:w="12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2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效益指标（60分）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被采纳的审计建议占全部审计建议的比率</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8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已整改问题数量占发现问题总数的比率</w:t>
            </w:r>
          </w:p>
        </w:tc>
        <w:tc>
          <w:tcPr>
            <w:tcW w:w="13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大于等于80%</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达到100%</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5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15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审计工作稳步进行。</w:t>
            </w:r>
          </w:p>
        </w:tc>
      </w:tr>
    </w:tbl>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0"/>
        </w:numPr>
        <w:adjustRightInd w:val="0"/>
        <w:snapToGrid w:val="0"/>
        <w:spacing w:line="620" w:lineRule="exact"/>
        <w:ind w:leftChars="200"/>
        <w:rPr>
          <w:rFonts w:hint="eastAsia" w:ascii="仿宋" w:hAnsi="仿宋" w:eastAsia="仿宋"/>
          <w:sz w:val="32"/>
          <w:szCs w:val="32"/>
        </w:rPr>
      </w:pPr>
    </w:p>
    <w:p>
      <w:pPr>
        <w:numPr>
          <w:ilvl w:val="0"/>
          <w:numId w:val="2"/>
        </w:numPr>
        <w:adjustRightInd w:val="0"/>
        <w:snapToGrid w:val="0"/>
        <w:spacing w:line="620" w:lineRule="exact"/>
        <w:ind w:left="0" w:leftChars="0"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网络运行维护费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网络运行维护费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12.5424</w:t>
      </w:r>
      <w:r>
        <w:rPr>
          <w:rFonts w:hint="eastAsia" w:ascii="仿宋_GB2312" w:hAnsi="仿宋_GB2312" w:eastAsia="仿宋_GB2312" w:cs="仿宋_GB2312"/>
          <w:sz w:val="32"/>
          <w:szCs w:val="32"/>
        </w:rPr>
        <w:t>万元，完成预算的83.6</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w:t>
      </w:r>
      <w:r>
        <w:rPr>
          <w:rFonts w:hint="eastAsia" w:ascii="仿宋" w:hAnsi="仿宋" w:eastAsia="仿宋"/>
          <w:sz w:val="32"/>
          <w:szCs w:val="32"/>
        </w:rPr>
        <w:t>办公自动化覆盖率</w:t>
      </w:r>
      <w:bookmarkStart w:id="0" w:name="_GoBack"/>
      <w:bookmarkEnd w:id="0"/>
      <w:r>
        <w:rPr>
          <w:rFonts w:hint="eastAsia" w:ascii="仿宋" w:hAnsi="仿宋" w:eastAsia="仿宋"/>
          <w:sz w:val="32"/>
          <w:szCs w:val="32"/>
        </w:rPr>
        <w:t>范围占应覆盖范围</w:t>
      </w:r>
      <w:r>
        <w:rPr>
          <w:rFonts w:hint="eastAsia" w:ascii="仿宋" w:hAnsi="仿宋" w:eastAsia="仿宋"/>
          <w:sz w:val="32"/>
          <w:szCs w:val="32"/>
          <w:lang w:val="en-US" w:eastAsia="zh-CN"/>
        </w:rPr>
        <w:t>达到100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lang w:val="en-US" w:eastAsia="zh-CN"/>
        </w:rPr>
        <w:t>二是</w:t>
      </w:r>
      <w:r>
        <w:rPr>
          <w:rFonts w:hint="eastAsia" w:ascii="仿宋" w:hAnsi="仿宋" w:eastAsia="仿宋"/>
          <w:sz w:val="32"/>
          <w:szCs w:val="32"/>
          <w:lang w:eastAsia="zh-CN"/>
        </w:rPr>
        <w:t>及时处理业务数占总处理数的比率</w:t>
      </w:r>
      <w:r>
        <w:rPr>
          <w:rFonts w:hint="eastAsia" w:ascii="仿宋" w:hAnsi="仿宋" w:eastAsia="仿宋"/>
          <w:sz w:val="32"/>
          <w:szCs w:val="32"/>
          <w:lang w:val="en-US" w:eastAsia="zh-CN"/>
        </w:rPr>
        <w:t>达到100</w:t>
      </w:r>
      <w:r>
        <w:rPr>
          <w:rFonts w:hint="eastAsia" w:ascii="仿宋" w:hAnsi="仿宋" w:eastAsia="仿宋"/>
          <w:sz w:val="32"/>
          <w:szCs w:val="32"/>
          <w:lang w:eastAsia="zh-CN"/>
        </w:rPr>
        <w:t>%</w:t>
      </w:r>
      <w:r>
        <w:rPr>
          <w:rFonts w:hint="eastAsia" w:ascii="仿宋_GB2312" w:hAnsi="仿宋_GB2312" w:eastAsia="仿宋_GB2312" w:cs="仿宋_GB2312"/>
          <w:sz w:val="32"/>
          <w:szCs w:val="32"/>
        </w:rPr>
        <w:t>。发现的主要问题及原因：</w:t>
      </w:r>
      <w:r>
        <w:rPr>
          <w:rFonts w:hint="eastAsia" w:ascii="仿宋" w:hAnsi="仿宋" w:eastAsia="仿宋"/>
          <w:sz w:val="32"/>
          <w:szCs w:val="32"/>
        </w:rPr>
        <w:t>项目预算比较薄弱，预算的计划性，科学性不强，消弱了预算的约束控制力。</w:t>
      </w:r>
      <w:r>
        <w:rPr>
          <w:rFonts w:hint="eastAsia" w:ascii="仿宋_GB2312" w:hAnsi="仿宋_GB2312" w:eastAsia="仿宋_GB2312" w:cs="仿宋_GB2312"/>
          <w:sz w:val="32"/>
          <w:szCs w:val="32"/>
        </w:rPr>
        <w:t>下一步改进措施：</w:t>
      </w:r>
      <w:r>
        <w:rPr>
          <w:rFonts w:hint="eastAsia" w:ascii="仿宋" w:hAnsi="仿宋" w:eastAsia="仿宋"/>
          <w:sz w:val="32"/>
          <w:szCs w:val="32"/>
        </w:rPr>
        <w:t>严格预算管理标准，提高预算绩效指标。</w:t>
      </w:r>
    </w:p>
    <w:p>
      <w:pPr>
        <w:widowControl w:val="0"/>
        <w:numPr>
          <w:ilvl w:val="0"/>
          <w:numId w:val="0"/>
        </w:numPr>
        <w:adjustRightInd w:val="0"/>
        <w:snapToGrid w:val="0"/>
        <w:spacing w:line="620" w:lineRule="exact"/>
        <w:jc w:val="both"/>
        <w:rPr>
          <w:rFonts w:hint="eastAsia" w:ascii="仿宋" w:hAnsi="仿宋" w:eastAsia="仿宋"/>
          <w:sz w:val="32"/>
          <w:szCs w:val="32"/>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03"/>
        <w:gridCol w:w="1844"/>
        <w:gridCol w:w="819"/>
        <w:gridCol w:w="998"/>
        <w:gridCol w:w="487"/>
        <w:gridCol w:w="1089"/>
        <w:gridCol w:w="1056"/>
        <w:gridCol w:w="1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30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8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c>
          <w:tcPr>
            <w:tcW w:w="81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48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34"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3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8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网络运行维护费</w:t>
            </w:r>
          </w:p>
        </w:tc>
        <w:tc>
          <w:tcPr>
            <w:tcW w:w="4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2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石家庄市藁城区审计局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6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12.5424</w:t>
            </w:r>
          </w:p>
        </w:tc>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12.5424</w:t>
            </w: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4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6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6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88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66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通过网络建设，提高审计效率，维护国家财政经济秩序，促进廉政建设，保障国民经济健康发展。</w:t>
            </w:r>
          </w:p>
        </w:tc>
        <w:tc>
          <w:tcPr>
            <w:tcW w:w="263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3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8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2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（70分）</w:t>
            </w:r>
          </w:p>
        </w:tc>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办公自动化覆盖率</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办公自动化覆盖率范围占应覆盖范围大于等于80%</w:t>
            </w:r>
          </w:p>
        </w:tc>
        <w:tc>
          <w:tcPr>
            <w:tcW w:w="10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98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业务处理及时性</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及时处理业务数占总处理数的比率大于等于80%</w:t>
            </w:r>
          </w:p>
        </w:tc>
        <w:tc>
          <w:tcPr>
            <w:tcW w:w="1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4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（30分）</w:t>
            </w:r>
          </w:p>
        </w:tc>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4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档案录入时间节省率</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项目实施前后每份档案平均录入时间节省量与项目实施前每份档案平均录入时间的比率大于等于20%</w:t>
            </w:r>
          </w:p>
        </w:tc>
        <w:tc>
          <w:tcPr>
            <w:tcW w:w="10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3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9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3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7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审计工作稳步进行。</w:t>
            </w:r>
          </w:p>
        </w:tc>
      </w:tr>
    </w:tbl>
    <w:p>
      <w:pPr>
        <w:keepNext/>
        <w:keepLines/>
        <w:numPr>
          <w:ilvl w:val="0"/>
          <w:numId w:val="0"/>
        </w:numPr>
        <w:snapToGrid w:val="0"/>
        <w:spacing w:line="580" w:lineRule="exact"/>
        <w:jc w:val="left"/>
        <w:outlineLvl w:val="1"/>
        <w:rPr>
          <w:rFonts w:hint="eastAsia" w:ascii="仿宋_GB2312" w:hAnsi="仿宋_GB2312" w:eastAsia="仿宋_GB2312" w:cs="仿宋_GB2312"/>
          <w:b/>
          <w:bCs/>
          <w:sz w:val="32"/>
          <w:szCs w:val="32"/>
        </w:rPr>
      </w:pPr>
    </w:p>
    <w:p>
      <w:pPr>
        <w:keepNext/>
        <w:keepLines/>
        <w:numPr>
          <w:ilvl w:val="0"/>
          <w:numId w:val="3"/>
        </w:numPr>
        <w:snapToGrid w:val="0"/>
        <w:spacing w:line="580" w:lineRule="exact"/>
        <w:ind w:left="840" w:leftChars="0"/>
        <w:jc w:val="left"/>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jc w:val="left"/>
        <w:outlineLvl w:val="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本部门无</w:t>
      </w:r>
      <w:r>
        <w:rPr>
          <w:rFonts w:hint="eastAsia" w:ascii="仿宋_GB2312" w:hAnsi="仿宋_GB2312" w:eastAsia="仿宋_GB2312" w:cs="仿宋_GB2312"/>
          <w:b w:val="0"/>
          <w:bCs w:val="0"/>
          <w:sz w:val="32"/>
          <w:szCs w:val="32"/>
        </w:rPr>
        <w:t>财政评价项目</w:t>
      </w:r>
      <w:r>
        <w:rPr>
          <w:rFonts w:hint="eastAsia" w:ascii="仿宋_GB2312" w:hAnsi="仿宋_GB2312" w:eastAsia="仿宋_GB2312" w:cs="仿宋_GB2312"/>
          <w:b w:val="0"/>
          <w:bCs w:val="0"/>
          <w:sz w:val="32"/>
          <w:szCs w:val="32"/>
          <w:lang w:eastAsia="zh-CN"/>
        </w:rPr>
        <w:t>。</w:t>
      </w:r>
    </w:p>
    <w:p>
      <w:pPr>
        <w:widowControl w:val="0"/>
        <w:numPr>
          <w:ilvl w:val="0"/>
          <w:numId w:val="0"/>
        </w:numPr>
        <w:adjustRightInd w:val="0"/>
        <w:snapToGrid w:val="0"/>
        <w:spacing w:line="620" w:lineRule="exact"/>
        <w:jc w:val="both"/>
        <w:rPr>
          <w:rFonts w:hint="eastAsia" w:ascii="仿宋" w:hAnsi="仿宋" w:eastAsia="仿宋"/>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27.49</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0.27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0.97</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31.3139</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10.2644</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21.0495</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31.3199</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1.6807</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5.37</w:t>
      </w:r>
      <w:r>
        <w:rPr>
          <w:rFonts w:ascii="仿宋_GB2312" w:hAnsi="仿宋_GB2312" w:eastAsia="仿宋_GB2312" w:cs="仿宋_GB2312"/>
          <w:color w:val="000000"/>
          <w:kern w:val="0"/>
          <w:sz w:val="32"/>
          <w:szCs w:val="32"/>
          <w:lang w:bidi="ar"/>
        </w:rPr>
        <w:t>%</w:t>
      </w:r>
      <w:r>
        <w:rPr>
          <w:rFonts w:hint="eastAsia" w:ascii="仿宋_GB2312" w:hAnsi="仿宋_GB2312" w:eastAsia="仿宋_GB2312" w:cs="仿宋_GB2312"/>
          <w:color w:val="000000"/>
          <w:kern w:val="0"/>
          <w:sz w:val="32"/>
          <w:szCs w:val="32"/>
          <w:lang w:eastAsia="zh-CN"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afterLines="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12月31日，本部门共有车辆0辆，比上年增加（减少）0辆。其中，副部（省）级及以上领导用车0辆，主要领导干部用车0辆，机要通信用车0辆，应急保障用车0辆，执法执勤用车0辆，特种专业技术用车0辆，离退休干部用车0辆，其他用车0辆；</w: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万元以上通用设备0台（套），比上年增加（减少）0套，单位价值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万元以上专用设备0台（套）比上年增加（减少）0套。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一般公共预算财政拨款“三公”经费、政府性基金预算财政拨款、国有资本经营预算财政拨款、政府采购无收支及结转结余情况，故一般公共预算财政拨款“三公”经费支出决算表、政府性基金预算财政拨款收入支出决算表、国有资本经营预算财政拨款支出决算表、政府采购情况表以空表列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jc w:val="both"/>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377.33</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375.10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377.33</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99"/>
                <w:tab w:val="right" w:pos="1154"/>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375.10</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2.23</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377.33</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377.33</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837"/>
        <w:gridCol w:w="48"/>
        <w:gridCol w:w="48"/>
        <w:gridCol w:w="2697"/>
        <w:gridCol w:w="1199"/>
        <w:gridCol w:w="1199"/>
        <w:gridCol w:w="709"/>
        <w:gridCol w:w="709"/>
        <w:gridCol w:w="709"/>
        <w:gridCol w:w="709"/>
        <w:gridCol w:w="716"/>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8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9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2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83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97"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石家庄市藁城区审计局</w:t>
            </w:r>
          </w:p>
        </w:tc>
        <w:tc>
          <w:tcPr>
            <w:tcW w:w="11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3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363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1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7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93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9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93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93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9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36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36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377.33</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377.33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93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26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一般公共服务支出</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3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20108</w:t>
            </w:r>
          </w:p>
        </w:tc>
        <w:tc>
          <w:tcPr>
            <w:tcW w:w="26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审计事务</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377.33</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377.33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3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2010801</w:t>
            </w:r>
          </w:p>
        </w:tc>
        <w:tc>
          <w:tcPr>
            <w:tcW w:w="26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行政运行</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311.23</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311.23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3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2010804</w:t>
            </w:r>
          </w:p>
        </w:tc>
        <w:tc>
          <w:tcPr>
            <w:tcW w:w="26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审计业务</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49.85</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49.85</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3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2010805</w:t>
            </w:r>
          </w:p>
        </w:tc>
        <w:tc>
          <w:tcPr>
            <w:tcW w:w="26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审计管理</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3.70</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3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2010806</w:t>
            </w:r>
          </w:p>
        </w:tc>
        <w:tc>
          <w:tcPr>
            <w:tcW w:w="26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信息化建设</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12.54</w:t>
            </w:r>
          </w:p>
        </w:tc>
        <w:tc>
          <w:tcPr>
            <w:tcW w:w="11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12.54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375.10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309.01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66.10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375.10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309.01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审计事务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375.10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309.01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66.10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309.01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309.01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审计业务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49.85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49.85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审计管理</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信息化建设</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12.54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12.54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Ind w:w="0" w:type="dxa"/>
        <w:tblLayout w:type="fixed"/>
        <w:tblCellMar>
          <w:top w:w="0" w:type="dxa"/>
          <w:left w:w="0" w:type="dxa"/>
          <w:bottom w:w="0" w:type="dxa"/>
          <w:right w:w="0" w:type="dxa"/>
        </w:tblCellMar>
      </w:tblPr>
      <w:tblGrid>
        <w:gridCol w:w="2252"/>
        <w:gridCol w:w="648"/>
        <w:gridCol w:w="780"/>
        <w:gridCol w:w="2904"/>
        <w:gridCol w:w="492"/>
        <w:gridCol w:w="800"/>
        <w:gridCol w:w="855"/>
        <w:gridCol w:w="78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0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4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6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0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4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36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84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25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4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0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25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0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375.10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375.10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375.10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375.10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2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29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377.33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2" w:type="dxa"/>
        <w:jc w:val="center"/>
        <w:tblInd w:w="0" w:type="dxa"/>
        <w:tblLayout w:type="fixed"/>
        <w:tblCellMar>
          <w:top w:w="0" w:type="dxa"/>
          <w:left w:w="0" w:type="dxa"/>
          <w:bottom w:w="0" w:type="dxa"/>
          <w:right w:w="0" w:type="dxa"/>
        </w:tblCellMar>
      </w:tblPr>
      <w:tblGrid>
        <w:gridCol w:w="2630"/>
        <w:gridCol w:w="36"/>
        <w:gridCol w:w="36"/>
        <w:gridCol w:w="1790"/>
        <w:gridCol w:w="1885"/>
        <w:gridCol w:w="1885"/>
        <w:gridCol w:w="1730"/>
      </w:tblGrid>
      <w:tr>
        <w:tblPrEx>
          <w:tblLayout w:type="fixed"/>
          <w:tblCellMar>
            <w:top w:w="0" w:type="dxa"/>
            <w:left w:w="0" w:type="dxa"/>
            <w:bottom w:w="0" w:type="dxa"/>
            <w:right w:w="0" w:type="dxa"/>
          </w:tblCellMar>
        </w:tblPrEx>
        <w:trPr>
          <w:trHeight w:val="600" w:hRule="atLeast"/>
          <w:jc w:val="center"/>
        </w:trPr>
        <w:tc>
          <w:tcPr>
            <w:tcW w:w="9992"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1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1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49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50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27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79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8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7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2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8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2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9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8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49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449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375.10</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309.01</w:t>
            </w: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66.10</w:t>
            </w: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w:t>
            </w:r>
          </w:p>
        </w:tc>
        <w:tc>
          <w:tcPr>
            <w:tcW w:w="1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一般公共服务支出</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375.10</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309.01</w:t>
            </w: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66.10</w:t>
            </w: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w:t>
            </w:r>
          </w:p>
        </w:tc>
        <w:tc>
          <w:tcPr>
            <w:tcW w:w="1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审计事务</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375.10</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309.01</w:t>
            </w: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66.10</w:t>
            </w: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2010801</w:t>
            </w:r>
          </w:p>
        </w:tc>
        <w:tc>
          <w:tcPr>
            <w:tcW w:w="1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行政运行</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309.01</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309.01</w:t>
            </w: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2010804</w:t>
            </w:r>
          </w:p>
        </w:tc>
        <w:tc>
          <w:tcPr>
            <w:tcW w:w="1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审计业务</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49.85</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49.85</w:t>
            </w: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2010805</w:t>
            </w:r>
          </w:p>
        </w:tc>
        <w:tc>
          <w:tcPr>
            <w:tcW w:w="1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审计管理</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3.70</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3.70</w:t>
            </w: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2010806</w:t>
            </w:r>
          </w:p>
        </w:tc>
        <w:tc>
          <w:tcPr>
            <w:tcW w:w="17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信息化建设</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12.54</w:t>
            </w:r>
          </w:p>
        </w:tc>
        <w:tc>
          <w:tcPr>
            <w:tcW w:w="1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1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12.54</w:t>
            </w:r>
          </w:p>
        </w:tc>
      </w:tr>
    </w:tbl>
    <w:p>
      <w:r>
        <w:rPr>
          <w:rFonts w:hint="eastAsia" w:ascii="宋体" w:hAnsi="宋体" w:eastAsia="宋体" w:cs="宋体"/>
          <w:color w:val="000000"/>
          <w:kern w:val="0"/>
          <w:sz w:val="20"/>
          <w:szCs w:val="20"/>
          <w:lang w:val="en-US" w:eastAsia="zh-CN" w:bidi="ar"/>
        </w:rPr>
        <w:t>注：本表反映部门本年度一般公共预算财政拨款收入及支出情况。</w:t>
      </w:r>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3611"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258.09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27.49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66.98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4.42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73.33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9.62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0.56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19.55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52.80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23.43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22.70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0.88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0.82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10.32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41"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45"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281.52</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27.49</w:t>
            </w:r>
          </w:p>
        </w:tc>
      </w:tr>
    </w:tbl>
    <w:p>
      <w:r>
        <w:rPr>
          <w:rFonts w:hint="eastAsia" w:ascii="宋体" w:hAnsi="宋体" w:eastAsia="宋体" w:cs="宋体"/>
          <w:color w:val="000000"/>
          <w:kern w:val="0"/>
          <w:sz w:val="20"/>
          <w:szCs w:val="20"/>
        </w:rPr>
        <w:t>注：本表反映部门本年度一般公共预算财政拨款基本支出明细情况。</w:t>
      </w:r>
      <w:r>
        <w:br w:type="page"/>
      </w:r>
    </w:p>
    <w:tbl>
      <w:tblPr>
        <w:tblStyle w:val="6"/>
        <w:tblW w:w="9221" w:type="dxa"/>
        <w:jc w:val="center"/>
        <w:tblInd w:w="0" w:type="dxa"/>
        <w:tblLayout w:type="fixed"/>
        <w:tblCellMar>
          <w:top w:w="0" w:type="dxa"/>
          <w:left w:w="0" w:type="dxa"/>
          <w:bottom w:w="0" w:type="dxa"/>
          <w:right w:w="0" w:type="dxa"/>
        </w:tblCellMar>
      </w:tblPr>
      <w:tblGrid>
        <w:gridCol w:w="2630"/>
        <w:gridCol w:w="1686"/>
        <w:gridCol w:w="1111"/>
        <w:gridCol w:w="1111"/>
        <w:gridCol w:w="1111"/>
        <w:gridCol w:w="1572"/>
      </w:tblGrid>
      <w:tr>
        <w:tblPrEx>
          <w:tblLayout w:type="fixed"/>
          <w:tblCellMar>
            <w:top w:w="0" w:type="dxa"/>
            <w:left w:w="0" w:type="dxa"/>
            <w:bottom w:w="0" w:type="dxa"/>
            <w:right w:w="0" w:type="dxa"/>
          </w:tblCellMar>
        </w:tblPrEx>
        <w:trPr>
          <w:trHeight w:val="638" w:hRule="atLeast"/>
          <w:jc w:val="center"/>
        </w:trPr>
        <w:tc>
          <w:tcPr>
            <w:tcW w:w="9221"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1"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26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3333"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26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26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2630"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1"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26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3333"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26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26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1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2630"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相关收入、支出、结转结余等情况，按要求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2630"/>
        <w:gridCol w:w="36"/>
        <w:gridCol w:w="36"/>
        <w:gridCol w:w="910"/>
        <w:gridCol w:w="983"/>
        <w:gridCol w:w="983"/>
        <w:gridCol w:w="983"/>
        <w:gridCol w:w="983"/>
        <w:gridCol w:w="983"/>
        <w:gridCol w:w="983"/>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6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26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6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61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9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294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9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27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91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9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9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2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2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6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36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7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kern w:val="0"/>
          <w:sz w:val="20"/>
          <w:szCs w:val="20"/>
          <w:lang w:val="en-US" w:eastAsia="zh-CN" w:bidi="ar"/>
        </w:rPr>
        <w:t xml:space="preserve">注：本表反映部门本年度政府性基金预算财政拨款收入、支出及结转和结余情况。本部门本年度无相关收入、支出、结转结余等情况，按要求空表列示。  </w:t>
      </w:r>
      <w:r>
        <w:br w:type="page"/>
      </w:r>
    </w:p>
    <w:tbl>
      <w:tblPr>
        <w:tblStyle w:val="6"/>
        <w:tblW w:w="9915" w:type="dxa"/>
        <w:jc w:val="center"/>
        <w:tblInd w:w="0" w:type="dxa"/>
        <w:tblLayout w:type="fixed"/>
        <w:tblCellMar>
          <w:top w:w="0" w:type="dxa"/>
          <w:left w:w="0" w:type="dxa"/>
          <w:bottom w:w="0" w:type="dxa"/>
          <w:right w:w="0" w:type="dxa"/>
        </w:tblCellMar>
      </w:tblPr>
      <w:tblGrid>
        <w:gridCol w:w="3807"/>
        <w:gridCol w:w="52"/>
        <w:gridCol w:w="52"/>
        <w:gridCol w:w="2689"/>
        <w:gridCol w:w="680"/>
        <w:gridCol w:w="1317"/>
        <w:gridCol w:w="1318"/>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38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3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380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石家庄市藁城区审计局</w:t>
            </w: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8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3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66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331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391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660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660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391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91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91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91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911"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6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kern w:val="0"/>
          <w:sz w:val="20"/>
          <w:szCs w:val="20"/>
          <w:lang w:val="en-US" w:eastAsia="zh-CN" w:bidi="ar"/>
        </w:rPr>
        <w:t>注：本表反映部门本年度国有资本经营预算财政拨款支出情况。本部门本年度无相关收入、支出、结转结余等情况，按要求空表列示。</w:t>
      </w:r>
      <w: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0B217F"/>
    <w:multiLevelType w:val="singleLevel"/>
    <w:tmpl w:val="BD0B217F"/>
    <w:lvl w:ilvl="0" w:tentative="0">
      <w:start w:val="1"/>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6D96B4A8"/>
    <w:multiLevelType w:val="singleLevel"/>
    <w:tmpl w:val="6D96B4A8"/>
    <w:lvl w:ilvl="0" w:tentative="0">
      <w:start w:val="3"/>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4A41C6"/>
    <w:rsid w:val="05B00A30"/>
    <w:rsid w:val="0B011416"/>
    <w:rsid w:val="16D93FDD"/>
    <w:rsid w:val="17F00100"/>
    <w:rsid w:val="183E5B0A"/>
    <w:rsid w:val="248E145B"/>
    <w:rsid w:val="27527A38"/>
    <w:rsid w:val="28656506"/>
    <w:rsid w:val="28EB4B68"/>
    <w:rsid w:val="31C2036A"/>
    <w:rsid w:val="320D02A5"/>
    <w:rsid w:val="33633992"/>
    <w:rsid w:val="348E566F"/>
    <w:rsid w:val="3A226944"/>
    <w:rsid w:val="3AEE6A48"/>
    <w:rsid w:val="3B20780B"/>
    <w:rsid w:val="3C1620AA"/>
    <w:rsid w:val="3CE91CAA"/>
    <w:rsid w:val="3D8F080F"/>
    <w:rsid w:val="3FE368B5"/>
    <w:rsid w:val="42111562"/>
    <w:rsid w:val="44CE1FA4"/>
    <w:rsid w:val="487F73ED"/>
    <w:rsid w:val="4A347EAE"/>
    <w:rsid w:val="52600405"/>
    <w:rsid w:val="529B4319"/>
    <w:rsid w:val="57773DD6"/>
    <w:rsid w:val="578B79AB"/>
    <w:rsid w:val="5B086380"/>
    <w:rsid w:val="5CCD3FD5"/>
    <w:rsid w:val="61FA5F9D"/>
    <w:rsid w:val="64CD6910"/>
    <w:rsid w:val="6789158D"/>
    <w:rsid w:val="67D81BA4"/>
    <w:rsid w:val="6AAF1C96"/>
    <w:rsid w:val="6D312600"/>
    <w:rsid w:val="73EA153C"/>
    <w:rsid w:val="75681757"/>
    <w:rsid w:val="75A346A8"/>
    <w:rsid w:val="79903344"/>
    <w:rsid w:val="79B9382C"/>
    <w:rsid w:val="7B043B76"/>
    <w:rsid w:val="7C041A6A"/>
    <w:rsid w:val="7C15526B"/>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0</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2021-06-30T01:08:37Z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