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sz w:val="36"/>
          <w:szCs w:val="36"/>
          <w:lang w:val="en-US" w:eastAsia="zh-CN"/>
        </w:rPr>
      </w:pPr>
    </w:p>
    <w:p>
      <w:pPr>
        <w:spacing w:line="360" w:lineRule="auto"/>
        <w:jc w:val="center"/>
        <w:rPr>
          <w:rFonts w:hint="eastAsia" w:ascii="宋体" w:hAnsi="宋体"/>
          <w:sz w:val="36"/>
          <w:szCs w:val="36"/>
        </w:rPr>
      </w:pPr>
      <w:r>
        <w:rPr>
          <w:rFonts w:hint="eastAsia" w:ascii="宋体" w:hAnsi="宋体"/>
          <w:sz w:val="36"/>
          <w:szCs w:val="36"/>
          <w:lang w:val="en-US" w:eastAsia="zh-CN"/>
        </w:rPr>
        <w:t>烈士陵园优抚事业单位日常维护</w:t>
      </w:r>
      <w:r>
        <w:rPr>
          <w:rFonts w:hint="eastAsia" w:ascii="宋体" w:hAnsi="宋体"/>
          <w:sz w:val="36"/>
          <w:szCs w:val="36"/>
        </w:rPr>
        <w:t>项目</w:t>
      </w:r>
    </w:p>
    <w:p>
      <w:pPr>
        <w:spacing w:line="360" w:lineRule="auto"/>
        <w:jc w:val="center"/>
        <w:rPr>
          <w:rFonts w:hint="eastAsia" w:ascii="华文楷体" w:eastAsia="华文楷体"/>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仿宋" w:hAnsi="仿宋" w:eastAsia="仿宋" w:cs="仿宋"/>
          <w:sz w:val="32"/>
          <w:szCs w:val="32"/>
        </w:rPr>
      </w:pPr>
    </w:p>
    <w:p>
      <w:pPr>
        <w:spacing w:line="360" w:lineRule="auto"/>
        <w:jc w:val="both"/>
        <w:rPr>
          <w:rFonts w:hint="eastAsia" w:ascii="华文楷体" w:eastAsia="华文楷体"/>
          <w:sz w:val="32"/>
          <w:szCs w:val="32"/>
        </w:rPr>
      </w:pPr>
      <w:bookmarkStart w:id="0" w:name="_GoBack"/>
      <w:bookmarkEnd w:id="0"/>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val="en-US" w:eastAsia="zh-CN"/>
        </w:rPr>
        <w:t>烈士陵园优抚事业单位日常维护</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项目实施单位为石家庄市藁城区烈士陵园，项目名称烈士陵园优抚事业单位日常维护。为达到烈士纪念建筑物整洁、肃穆，为社会提供良好的瞻仰和教育场所，发挥爱国主义教育基地作用而设立此项资金。</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项目主要实施内容和范围</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主要实施内容和范围：烈士陵园日常维护、维修；安全保卫、保洁，苗木的维护养护；完善陵园设施；遗属接待；在节日期间如清明节、烈士纪念日等特定时间，保正后勤保障（人员、车辆、物资等）。</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项目资金投入情况（资金数量、资金结构、资金来源渠道等）</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资金总额为13万元，为本级配套资金，已全部支出，并达到预期效果及目标。</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（1）</w:t>
      </w:r>
      <w:r>
        <w:rPr>
          <w:rFonts w:hint="eastAsia" w:ascii="仿宋_GB2312" w:eastAsia="仿宋_GB2312"/>
          <w:sz w:val="32"/>
          <w:szCs w:val="32"/>
          <w:lang w:val="en-US" w:eastAsia="zh-CN"/>
        </w:rPr>
        <w:t xml:space="preserve"> 按照藁城区烈士陵园管理办法，严格管理，烈士陵园日常运行，陵园安全、保洁，苗木的维修维护，水费电费，烈士墓设施，文物征集，资料编写均得到保障。达到预期目标。</w:t>
      </w:r>
    </w:p>
    <w:p>
      <w:pPr>
        <w:numPr>
          <w:ilvl w:val="0"/>
          <w:numId w:val="0"/>
        </w:num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（2）严格把关，按照文件要求以及财政制度合理使用本资金，资金及时、足额发放，保证烈士陵园日常维护、运行。接受上级财政及审计部门资金监督，确保资金安全合理使用。</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总体目标：保障烈士陵园满足群众纪念，缅怀先烈的意愿，体现红色革命纪念基地发挥优势作用。阶段性绩目标和指标：烈士纪念建筑物日常及定期维修、维护达到100%，园区内安全保卫、保洁工作，日常办公经费、水电费，苗木的护养等均达到100%。</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绩效自评为本单位内部对这一整年度工作状况、资金支出的自我认识及评价，有利于对整个年度资金的支出进行充分的了解，有利于后续工作的顺利开展。</w:t>
      </w:r>
    </w:p>
    <w:p>
      <w:pPr>
        <w:numPr>
          <w:ilvl w:val="0"/>
          <w:numId w:val="2"/>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按照财政系统中的收支记录，对资金来源去向做到大致了解，之后再按照支出的实际情况进行补充、总结，最终完成绩效自评。</w:t>
      </w:r>
    </w:p>
    <w:p>
      <w:pPr>
        <w:numPr>
          <w:ilvl w:val="0"/>
          <w:numId w:val="2"/>
        </w:numPr>
        <w:ind w:left="0" w:leftChars="0"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建立绩效评价指标体系</w:t>
      </w:r>
    </w:p>
    <w:p>
      <w:pPr>
        <w:numPr>
          <w:ilvl w:val="0"/>
          <w:numId w:val="0"/>
        </w:num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绩效自评包括自评表和自评报告，其中包括的内容为资金来源、数量，资金所达到的预期目标，如产出指标、效果指标和满意度指标，产出指标又细分为数量指标、质量指标等，效果指标包括社会效益指标、可持续影响指标、生态指标等。从这些指标中更加清楚的认识到本单位资金所达到的目标是否符合预期，便于在之后的工作，更好的利用资金，达成效果。</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1、项目的实际完成率</w:t>
      </w:r>
      <w:r>
        <w:rPr>
          <w:rFonts w:hint="eastAsia" w:ascii="仿宋_GB2312" w:eastAsia="仿宋_GB2312"/>
          <w:sz w:val="32"/>
          <w:szCs w:val="32"/>
          <w:lang w:val="en-US" w:eastAsia="zh-CN"/>
        </w:rPr>
        <w:t>达到100%</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2、</w:t>
      </w:r>
      <w:r>
        <w:rPr>
          <w:rFonts w:hint="eastAsia" w:ascii="仿宋_GB2312" w:eastAsia="仿宋_GB2312"/>
          <w:sz w:val="32"/>
          <w:szCs w:val="32"/>
          <w:lang w:val="en-US" w:eastAsia="zh-CN"/>
        </w:rPr>
        <w:t>资金及时、足额发放；</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3、</w:t>
      </w:r>
      <w:r>
        <w:rPr>
          <w:rFonts w:hint="eastAsia" w:ascii="仿宋_GB2312" w:eastAsia="仿宋_GB2312"/>
          <w:sz w:val="32"/>
          <w:szCs w:val="32"/>
          <w:lang w:val="en-US" w:eastAsia="zh-CN"/>
        </w:rPr>
        <w:t>得到了群众的一致好评</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2、项目实施的社会效益分析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社会效益：清明等特定节日顺利开展</w:t>
      </w:r>
    </w:p>
    <w:p>
      <w:pPr>
        <w:numPr>
          <w:ilvl w:val="0"/>
          <w:numId w:val="3"/>
        </w:numPr>
        <w:ind w:firstLine="640" w:firstLineChars="200"/>
        <w:rPr>
          <w:rFonts w:hint="eastAsia" w:ascii="仿宋_GB2312" w:eastAsia="仿宋_GB2312"/>
          <w:sz w:val="32"/>
          <w:szCs w:val="32"/>
        </w:rPr>
      </w:pPr>
      <w:r>
        <w:rPr>
          <w:rFonts w:hint="eastAsia" w:ascii="仿宋_GB2312" w:eastAsia="仿宋_GB2312"/>
          <w:sz w:val="32"/>
          <w:szCs w:val="32"/>
        </w:rPr>
        <w:t>项目实施的生态效益分析</w:t>
      </w:r>
    </w:p>
    <w:p>
      <w:pPr>
        <w:numPr>
          <w:ilvl w:val="0"/>
          <w:numId w:val="0"/>
        </w:num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特定节日高峰期环境保持整洁</w:t>
      </w:r>
    </w:p>
    <w:p>
      <w:pPr>
        <w:numPr>
          <w:ilvl w:val="0"/>
          <w:numId w:val="3"/>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项目实施的可持续性影响分析</w:t>
      </w:r>
    </w:p>
    <w:p>
      <w:pPr>
        <w:numPr>
          <w:ilvl w:val="0"/>
          <w:numId w:val="0"/>
        </w:numPr>
        <w:ind w:leftChars="200"/>
        <w:rPr>
          <w:rFonts w:hint="default" w:ascii="仿宋_GB2312" w:eastAsia="仿宋_GB2312"/>
          <w:sz w:val="32"/>
          <w:szCs w:val="32"/>
          <w:lang w:val="en-US" w:eastAsia="zh-CN"/>
        </w:rPr>
      </w:pPr>
      <w:r>
        <w:rPr>
          <w:rFonts w:hint="eastAsia" w:ascii="仿宋_GB2312" w:eastAsia="仿宋_GB2312"/>
          <w:sz w:val="32"/>
          <w:szCs w:val="32"/>
          <w:lang w:val="en-US" w:eastAsia="zh-CN"/>
        </w:rPr>
        <w:t>可持续影响：发挥爱国主义教育基地作用</w:t>
      </w:r>
    </w:p>
    <w:p>
      <w:pPr>
        <w:numPr>
          <w:ilvl w:val="0"/>
          <w:numId w:val="4"/>
        </w:numPr>
        <w:ind w:firstLine="640" w:firstLineChars="200"/>
        <w:rPr>
          <w:rFonts w:hint="eastAsia" w:ascii="仿宋_GB2312" w:eastAsia="仿宋_GB2312"/>
          <w:sz w:val="32"/>
          <w:szCs w:val="32"/>
        </w:rPr>
      </w:pPr>
      <w:r>
        <w:rPr>
          <w:rFonts w:hint="eastAsia" w:ascii="仿宋_GB2312" w:eastAsia="仿宋_GB2312"/>
          <w:sz w:val="32"/>
          <w:szCs w:val="32"/>
        </w:rPr>
        <w:t>满意度指标完成情况分析</w:t>
      </w:r>
    </w:p>
    <w:p>
      <w:pPr>
        <w:numPr>
          <w:ilvl w:val="0"/>
          <w:numId w:val="0"/>
        </w:num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群众满意度达到100%，职工归属感、认可度达到100%。</w:t>
      </w:r>
    </w:p>
    <w:p>
      <w:pPr>
        <w:numPr>
          <w:ilvl w:val="0"/>
          <w:numId w:val="5"/>
        </w:numPr>
        <w:ind w:firstLine="640" w:firstLineChars="200"/>
        <w:rPr>
          <w:rFonts w:hint="eastAsia" w:ascii="黑体" w:hAnsi="黑体" w:eastAsia="黑体"/>
          <w:sz w:val="32"/>
          <w:szCs w:val="32"/>
        </w:rPr>
      </w:pPr>
      <w:r>
        <w:rPr>
          <w:rFonts w:hint="eastAsia" w:ascii="黑体" w:hAnsi="黑体" w:eastAsia="黑体"/>
          <w:sz w:val="32"/>
          <w:szCs w:val="32"/>
        </w:rPr>
        <w:t>项目综合评价结论和评价等级</w:t>
      </w:r>
    </w:p>
    <w:p>
      <w:pPr>
        <w:numPr>
          <w:ilvl w:val="0"/>
          <w:numId w:val="0"/>
        </w:numPr>
        <w:rPr>
          <w:rFonts w:hint="default" w:ascii="仿宋_GB2312" w:eastAsia="仿宋_GB2312"/>
          <w:sz w:val="32"/>
          <w:szCs w:val="32"/>
          <w:lang w:val="en-US" w:eastAsia="zh-CN"/>
        </w:rPr>
      </w:pPr>
      <w:r>
        <w:rPr>
          <w:rFonts w:hint="eastAsia" w:ascii="黑体" w:hAnsi="黑体" w:eastAsia="黑体"/>
          <w:sz w:val="32"/>
          <w:szCs w:val="32"/>
          <w:lang w:val="en-US" w:eastAsia="zh-CN"/>
        </w:rPr>
        <w:t xml:space="preserve">    </w:t>
      </w:r>
      <w:r>
        <w:rPr>
          <w:rFonts w:hint="eastAsia" w:ascii="仿宋_GB2312" w:eastAsia="仿宋_GB2312"/>
          <w:sz w:val="32"/>
          <w:szCs w:val="32"/>
          <w:lang w:val="en-US" w:eastAsia="zh-CN"/>
        </w:rPr>
        <w:t xml:space="preserve"> 烈士陵园优抚事业单位日常维护费用支出率达到100%，陵园安全及卫生得到有力保障，临时人员工资及时足额发放，苗木、烈士墓定期维护、养护，清明节扫墓等活动顺利开展得到有力支撑，陵园正常运行。达到了作为一个爱国主义教育基地的作用，该项目指标体系为100分，项目综合绩效评价优秀。</w:t>
      </w:r>
    </w:p>
    <w:p>
      <w:pPr>
        <w:numPr>
          <w:ilvl w:val="0"/>
          <w:numId w:val="0"/>
        </w:numPr>
        <w:rPr>
          <w:rFonts w:hint="default" w:ascii="黑体" w:hAnsi="黑体" w:eastAsia="黑体"/>
          <w:sz w:val="32"/>
          <w:szCs w:val="32"/>
          <w:lang w:val="en-US" w:eastAsia="zh-CN"/>
        </w:rPr>
      </w:pP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rPr>
          <w:rFonts w:hint="default" w:ascii="仿宋_GB2312" w:eastAsia="仿宋_GB2312"/>
          <w:sz w:val="32"/>
          <w:szCs w:val="32"/>
          <w:lang w:val="en-US" w:eastAsia="zh-CN"/>
        </w:rPr>
      </w:pPr>
      <w:r>
        <w:rPr>
          <w:rFonts w:hint="eastAsia" w:ascii="楷体_GB2312" w:hAnsi="楷体_GB2312" w:eastAsia="楷体_GB2312"/>
          <w:b/>
          <w:bCs/>
          <w:sz w:val="32"/>
          <w:szCs w:val="32"/>
        </w:rPr>
        <w:t xml:space="preserve">   </w:t>
      </w:r>
      <w:r>
        <w:rPr>
          <w:rFonts w:hint="eastAsia" w:ascii="仿宋_GB2312" w:eastAsia="仿宋_GB2312"/>
          <w:sz w:val="32"/>
          <w:szCs w:val="32"/>
          <w:lang w:val="en-US" w:eastAsia="zh-CN"/>
        </w:rPr>
        <w:t>无存在问题。在接下来的工作中，会更加严格按照文件规定实施，有计划有条理的对资金进行支出应用，是烈士陵园设施更加完善，体系更加完整。</w:t>
      </w:r>
    </w:p>
    <w:p>
      <w:pPr>
        <w:numPr>
          <w:ilvl w:val="0"/>
          <w:numId w:val="6"/>
        </w:numPr>
        <w:adjustRightInd w:val="0"/>
        <w:snapToGrid w:val="0"/>
        <w:spacing w:line="360" w:lineRule="auto"/>
        <w:ind w:left="0" w:leftChars="0" w:firstLine="640" w:firstLineChars="200"/>
        <w:rPr>
          <w:rFonts w:hint="eastAsia" w:ascii="仿宋_GB2312" w:eastAsia="仿宋_GB2312"/>
          <w:sz w:val="32"/>
          <w:szCs w:val="32"/>
        </w:rPr>
      </w:pPr>
      <w:r>
        <w:rPr>
          <w:rFonts w:hint="eastAsia" w:ascii="黑体" w:eastAsia="黑体"/>
          <w:sz w:val="32"/>
          <w:szCs w:val="32"/>
        </w:rPr>
        <w:t>评价工作组人员名单及签字</w:t>
      </w:r>
      <w:r>
        <w:rPr>
          <w:rFonts w:hint="eastAsia" w:ascii="仿宋_GB2312" w:eastAsia="仿宋_GB2312"/>
          <w:sz w:val="32"/>
          <w:szCs w:val="32"/>
        </w:rPr>
        <w:t>（姓名、工作单位、职务、职称）</w:t>
      </w:r>
    </w:p>
    <w:p>
      <w:pPr>
        <w:numPr>
          <w:numId w:val="0"/>
        </w:numPr>
        <w:adjustRightInd w:val="0"/>
        <w:snapToGrid w:val="0"/>
        <w:spacing w:line="360" w:lineRule="auto"/>
        <w:ind w:leftChars="200"/>
        <w:rPr>
          <w:rFonts w:hint="eastAsia" w:ascii="仿宋_GB2312" w:eastAsia="仿宋_GB2312"/>
          <w:sz w:val="32"/>
          <w:szCs w:val="32"/>
        </w:rPr>
      </w:pPr>
    </w:p>
    <w:p>
      <w:pPr>
        <w:numPr>
          <w:numId w:val="0"/>
        </w:numPr>
        <w:adjustRightInd w:val="0"/>
        <w:snapToGrid w:val="0"/>
        <w:spacing w:line="360" w:lineRule="auto"/>
        <w:ind w:leftChars="200"/>
        <w:rPr>
          <w:rFonts w:hint="eastAsia" w:ascii="仿宋_GB2312" w:eastAsia="仿宋_GB2312"/>
          <w:sz w:val="32"/>
          <w:szCs w:val="32"/>
        </w:rPr>
      </w:pPr>
    </w:p>
    <w:tbl>
      <w:tblPr>
        <w:tblStyle w:val="3"/>
        <w:tblW w:w="8203" w:type="dxa"/>
        <w:tblInd w:w="3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550"/>
        <w:gridCol w:w="2867"/>
        <w:gridCol w:w="1264"/>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5" w:hRule="atLeast"/>
        </w:trPr>
        <w:tc>
          <w:tcPr>
            <w:tcW w:w="817" w:type="dxa"/>
          </w:tcPr>
          <w:p>
            <w:pPr>
              <w:adjustRightInd w:val="0"/>
              <w:snapToGrid w:val="0"/>
              <w:spacing w:line="360" w:lineRule="auto"/>
              <w:jc w:val="both"/>
              <w:rPr>
                <w:rFonts w:hint="eastAsia" w:ascii="仿宋_GB2312" w:eastAsia="仿宋_GB2312"/>
                <w:sz w:val="30"/>
                <w:szCs w:val="30"/>
                <w:lang w:val="en-US" w:eastAsia="zh-CN"/>
              </w:rPr>
            </w:pPr>
            <w:r>
              <w:rPr>
                <w:rFonts w:hint="eastAsia" w:ascii="仿宋_GB2312" w:eastAsia="仿宋_GB2312"/>
                <w:sz w:val="30"/>
                <w:szCs w:val="30"/>
                <w:lang w:val="en-US" w:eastAsia="zh-CN"/>
              </w:rPr>
              <w:t>序号</w:t>
            </w:r>
          </w:p>
        </w:tc>
        <w:tc>
          <w:tcPr>
            <w:tcW w:w="1550" w:type="dxa"/>
          </w:tcPr>
          <w:p>
            <w:pPr>
              <w:adjustRightInd w:val="0"/>
              <w:snapToGrid w:val="0"/>
              <w:spacing w:line="360" w:lineRule="auto"/>
              <w:ind w:firstLine="300" w:firstLineChars="100"/>
              <w:jc w:val="both"/>
              <w:rPr>
                <w:rFonts w:hint="eastAsia" w:ascii="仿宋_GB2312" w:eastAsia="仿宋_GB2312"/>
                <w:sz w:val="30"/>
                <w:szCs w:val="30"/>
                <w:lang w:val="en-US" w:eastAsia="zh-CN"/>
              </w:rPr>
            </w:pPr>
            <w:r>
              <w:rPr>
                <w:rFonts w:hint="eastAsia" w:ascii="仿宋_GB2312" w:eastAsia="仿宋_GB2312"/>
                <w:sz w:val="30"/>
                <w:szCs w:val="30"/>
                <w:lang w:val="en-US" w:eastAsia="zh-CN"/>
              </w:rPr>
              <w:t>姓名</w:t>
            </w:r>
          </w:p>
        </w:tc>
        <w:tc>
          <w:tcPr>
            <w:tcW w:w="2867" w:type="dxa"/>
          </w:tcPr>
          <w:p>
            <w:pPr>
              <w:adjustRightInd w:val="0"/>
              <w:snapToGrid w:val="0"/>
              <w:spacing w:line="360" w:lineRule="auto"/>
              <w:ind w:firstLine="600" w:firstLineChars="200"/>
              <w:jc w:val="both"/>
              <w:rPr>
                <w:rFonts w:hint="default" w:ascii="仿宋_GB2312" w:eastAsia="仿宋_GB2312"/>
                <w:sz w:val="30"/>
                <w:szCs w:val="30"/>
                <w:lang w:val="en-US" w:eastAsia="zh-CN"/>
              </w:rPr>
            </w:pPr>
            <w:r>
              <w:rPr>
                <w:rFonts w:hint="eastAsia" w:ascii="仿宋_GB2312" w:eastAsia="仿宋_GB2312"/>
                <w:sz w:val="30"/>
                <w:szCs w:val="30"/>
                <w:lang w:val="en-US" w:eastAsia="zh-CN"/>
              </w:rPr>
              <w:t>工作单位</w:t>
            </w:r>
          </w:p>
        </w:tc>
        <w:tc>
          <w:tcPr>
            <w:tcW w:w="1264" w:type="dxa"/>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职务</w:t>
            </w:r>
          </w:p>
        </w:tc>
        <w:tc>
          <w:tcPr>
            <w:tcW w:w="1705" w:type="dxa"/>
          </w:tcPr>
          <w:p>
            <w:pPr>
              <w:adjustRightInd w:val="0"/>
              <w:snapToGrid w:val="0"/>
              <w:spacing w:line="360" w:lineRule="auto"/>
              <w:ind w:firstLine="320" w:firstLineChars="1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7" w:hRule="atLeast"/>
        </w:trPr>
        <w:tc>
          <w:tcPr>
            <w:tcW w:w="817" w:type="dxa"/>
          </w:tcPr>
          <w:p>
            <w:pPr>
              <w:adjustRightInd w:val="0"/>
              <w:snapToGrid w:val="0"/>
              <w:spacing w:line="360" w:lineRule="auto"/>
              <w:ind w:firstLine="320" w:firstLineChars="1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w:t>
            </w:r>
          </w:p>
        </w:tc>
        <w:tc>
          <w:tcPr>
            <w:tcW w:w="1550" w:type="dxa"/>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李梅军</w:t>
            </w:r>
          </w:p>
        </w:tc>
        <w:tc>
          <w:tcPr>
            <w:tcW w:w="2867" w:type="dxa"/>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退役军人事务局</w:t>
            </w:r>
          </w:p>
        </w:tc>
        <w:tc>
          <w:tcPr>
            <w:tcW w:w="1264" w:type="dxa"/>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副局长</w:t>
            </w:r>
          </w:p>
        </w:tc>
        <w:tc>
          <w:tcPr>
            <w:tcW w:w="1705" w:type="dxa"/>
          </w:tcPr>
          <w:p>
            <w:pPr>
              <w:adjustRightInd w:val="0"/>
              <w:snapToGrid w:val="0"/>
              <w:spacing w:line="360" w:lineRule="auto"/>
              <w:ind w:firstLine="640" w:firstLineChars="200"/>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tcPr>
          <w:p>
            <w:pPr>
              <w:adjustRightInd w:val="0"/>
              <w:snapToGrid w:val="0"/>
              <w:spacing w:line="360" w:lineRule="auto"/>
              <w:ind w:firstLine="320" w:firstLineChars="1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2</w:t>
            </w:r>
          </w:p>
        </w:tc>
        <w:tc>
          <w:tcPr>
            <w:tcW w:w="1550" w:type="dxa"/>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陈立涛</w:t>
            </w:r>
          </w:p>
        </w:tc>
        <w:tc>
          <w:tcPr>
            <w:tcW w:w="2867" w:type="dxa"/>
          </w:tcPr>
          <w:p>
            <w:pPr>
              <w:adjustRightInd w:val="0"/>
              <w:snapToGrid w:val="0"/>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烈士陵园</w:t>
            </w:r>
          </w:p>
        </w:tc>
        <w:tc>
          <w:tcPr>
            <w:tcW w:w="1264" w:type="dxa"/>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园长</w:t>
            </w:r>
          </w:p>
        </w:tc>
        <w:tc>
          <w:tcPr>
            <w:tcW w:w="1705" w:type="dxa"/>
          </w:tcPr>
          <w:p>
            <w:pPr>
              <w:adjustRightInd w:val="0"/>
              <w:snapToGrid w:val="0"/>
              <w:spacing w:line="360" w:lineRule="auto"/>
              <w:ind w:firstLine="640" w:firstLineChars="200"/>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vAlign w:val="top"/>
          </w:tcPr>
          <w:p>
            <w:pPr>
              <w:adjustRightInd w:val="0"/>
              <w:snapToGrid w:val="0"/>
              <w:spacing w:line="360" w:lineRule="auto"/>
              <w:ind w:firstLine="320" w:firstLineChars="1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3</w:t>
            </w:r>
          </w:p>
        </w:tc>
        <w:tc>
          <w:tcPr>
            <w:tcW w:w="1550" w:type="dxa"/>
            <w:vAlign w:val="top"/>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李静</w:t>
            </w:r>
          </w:p>
        </w:tc>
        <w:tc>
          <w:tcPr>
            <w:tcW w:w="2867" w:type="dxa"/>
            <w:vAlign w:val="top"/>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退役军人事务局</w:t>
            </w:r>
          </w:p>
        </w:tc>
        <w:tc>
          <w:tcPr>
            <w:tcW w:w="1264" w:type="dxa"/>
            <w:vAlign w:val="top"/>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科长</w:t>
            </w:r>
          </w:p>
        </w:tc>
        <w:tc>
          <w:tcPr>
            <w:tcW w:w="1705" w:type="dxa"/>
          </w:tcPr>
          <w:p>
            <w:pPr>
              <w:adjustRightInd w:val="0"/>
              <w:snapToGrid w:val="0"/>
              <w:spacing w:line="360" w:lineRule="auto"/>
              <w:ind w:firstLine="640" w:firstLineChars="200"/>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tcPr>
          <w:p>
            <w:pPr>
              <w:adjustRightInd w:val="0"/>
              <w:snapToGrid w:val="0"/>
              <w:spacing w:line="360" w:lineRule="auto"/>
              <w:ind w:firstLine="320" w:firstLineChars="1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4</w:t>
            </w:r>
          </w:p>
        </w:tc>
        <w:tc>
          <w:tcPr>
            <w:tcW w:w="1550" w:type="dxa"/>
            <w:vAlign w:val="top"/>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徐文静</w:t>
            </w:r>
          </w:p>
        </w:tc>
        <w:tc>
          <w:tcPr>
            <w:tcW w:w="2867" w:type="dxa"/>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退役军人服务中心</w:t>
            </w:r>
          </w:p>
        </w:tc>
        <w:tc>
          <w:tcPr>
            <w:tcW w:w="1264" w:type="dxa"/>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职员</w:t>
            </w:r>
          </w:p>
        </w:tc>
        <w:tc>
          <w:tcPr>
            <w:tcW w:w="1705" w:type="dxa"/>
          </w:tcPr>
          <w:p>
            <w:pPr>
              <w:adjustRightInd w:val="0"/>
              <w:snapToGrid w:val="0"/>
              <w:spacing w:line="360" w:lineRule="auto"/>
              <w:ind w:firstLine="640" w:firstLineChars="200"/>
              <w:jc w:val="center"/>
              <w:rPr>
                <w:rFonts w:hint="eastAsia" w:ascii="仿宋_GB2312" w:eastAsia="仿宋_GB2312"/>
                <w:sz w:val="32"/>
                <w:szCs w:val="32"/>
              </w:rPr>
            </w:pPr>
          </w:p>
        </w:tc>
      </w:tr>
    </w:tbl>
    <w:p>
      <w:pPr>
        <w:widowControl w:val="0"/>
        <w:numPr>
          <w:numId w:val="0"/>
        </w:numPr>
        <w:adjustRightInd w:val="0"/>
        <w:snapToGrid w:val="0"/>
        <w:spacing w:line="360" w:lineRule="auto"/>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p>
    <w:p>
      <w:pPr>
        <w:widowControl w:val="0"/>
        <w:numPr>
          <w:numId w:val="0"/>
        </w:numPr>
        <w:adjustRightInd w:val="0"/>
        <w:snapToGrid w:val="0"/>
        <w:spacing w:line="360" w:lineRule="auto"/>
        <w:jc w:val="both"/>
        <w:rPr>
          <w:rFonts w:hint="eastAsia" w:ascii="仿宋_GB2312" w:eastAsia="仿宋_GB2312"/>
          <w:sz w:val="32"/>
          <w:szCs w:val="32"/>
          <w:lang w:val="en-US" w:eastAsia="zh-CN"/>
        </w:rPr>
      </w:pPr>
    </w:p>
    <w:p>
      <w:pPr>
        <w:widowControl w:val="0"/>
        <w:numPr>
          <w:numId w:val="0"/>
        </w:numPr>
        <w:adjustRightInd w:val="0"/>
        <w:snapToGrid w:val="0"/>
        <w:spacing w:line="360" w:lineRule="auto"/>
        <w:jc w:val="right"/>
        <w:rPr>
          <w:rFonts w:hint="default" w:ascii="仿宋_GB2312" w:eastAsia="仿宋_GB2312"/>
          <w:sz w:val="32"/>
          <w:szCs w:val="32"/>
          <w:lang w:val="en-US" w:eastAsia="zh-CN"/>
        </w:rPr>
      </w:pPr>
      <w:r>
        <w:rPr>
          <w:rFonts w:hint="eastAsia" w:ascii="仿宋_GB2312" w:eastAsia="仿宋_GB2312"/>
          <w:sz w:val="32"/>
          <w:szCs w:val="32"/>
          <w:lang w:val="en-US" w:eastAsia="zh-CN"/>
        </w:rPr>
        <w:t>石家庄市藁城区烈士陵园</w:t>
      </w:r>
    </w:p>
    <w:p>
      <w:pPr>
        <w:numPr>
          <w:ilvl w:val="0"/>
          <w:numId w:val="0"/>
        </w:numPr>
        <w:adjustRightInd w:val="0"/>
        <w:snapToGrid w:val="0"/>
        <w:spacing w:line="360" w:lineRule="auto"/>
        <w:ind w:firstLine="5440" w:firstLineChars="1700"/>
        <w:rPr>
          <w:rFonts w:hint="default" w:ascii="仿宋_GB2312" w:eastAsia="仿宋_GB2312"/>
          <w:sz w:val="32"/>
          <w:szCs w:val="32"/>
          <w:lang w:val="en-US" w:eastAsia="zh-CN"/>
        </w:rPr>
      </w:pPr>
      <w:r>
        <w:rPr>
          <w:rFonts w:hint="eastAsia" w:ascii="仿宋_GB2312" w:eastAsia="仿宋_GB2312"/>
          <w:sz w:val="32"/>
          <w:szCs w:val="32"/>
          <w:lang w:val="en-US" w:eastAsia="zh-CN"/>
        </w:rPr>
        <w:t>2020年5月25日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4ABFFD"/>
    <w:multiLevelType w:val="singleLevel"/>
    <w:tmpl w:val="914ABFFD"/>
    <w:lvl w:ilvl="0" w:tentative="0">
      <w:start w:val="2"/>
      <w:numFmt w:val="chineseCounting"/>
      <w:suff w:val="nothing"/>
      <w:lvlText w:val="（%1）"/>
      <w:lvlJc w:val="left"/>
      <w:rPr>
        <w:rFonts w:hint="eastAsia"/>
      </w:rPr>
    </w:lvl>
  </w:abstractNum>
  <w:abstractNum w:abstractNumId="1">
    <w:nsid w:val="937F69D8"/>
    <w:multiLevelType w:val="singleLevel"/>
    <w:tmpl w:val="937F69D8"/>
    <w:lvl w:ilvl="0" w:tentative="0">
      <w:start w:val="4"/>
      <w:numFmt w:val="chineseCounting"/>
      <w:suff w:val="nothing"/>
      <w:lvlText w:val="%1、"/>
      <w:lvlJc w:val="left"/>
      <w:rPr>
        <w:rFonts w:hint="eastAsia"/>
      </w:rPr>
    </w:lvl>
  </w:abstractNum>
  <w:abstractNum w:abstractNumId="2">
    <w:nsid w:val="977AFEE3"/>
    <w:multiLevelType w:val="singleLevel"/>
    <w:tmpl w:val="977AFEE3"/>
    <w:lvl w:ilvl="0" w:tentative="0">
      <w:start w:val="3"/>
      <w:numFmt w:val="chineseCounting"/>
      <w:suff w:val="nothing"/>
      <w:lvlText w:val="（%1）"/>
      <w:lvlJc w:val="left"/>
      <w:rPr>
        <w:rFonts w:hint="eastAsia"/>
      </w:rPr>
    </w:lvl>
  </w:abstractNum>
  <w:abstractNum w:abstractNumId="3">
    <w:nsid w:val="0FCF90EC"/>
    <w:multiLevelType w:val="singleLevel"/>
    <w:tmpl w:val="0FCF90EC"/>
    <w:lvl w:ilvl="0" w:tentative="0">
      <w:start w:val="3"/>
      <w:numFmt w:val="decimal"/>
      <w:suff w:val="nothing"/>
      <w:lvlText w:val="%1、"/>
      <w:lvlJc w:val="left"/>
    </w:lvl>
  </w:abstractNum>
  <w:abstractNum w:abstractNumId="4">
    <w:nsid w:val="1C62BCD6"/>
    <w:multiLevelType w:val="singleLevel"/>
    <w:tmpl w:val="1C62BCD6"/>
    <w:lvl w:ilvl="0" w:tentative="0">
      <w:start w:val="2"/>
      <w:numFmt w:val="decimal"/>
      <w:lvlText w:val="%1."/>
      <w:lvlJc w:val="left"/>
      <w:pPr>
        <w:tabs>
          <w:tab w:val="left" w:pos="312"/>
        </w:tabs>
        <w:ind w:left="800" w:leftChars="0" w:firstLine="0" w:firstLineChars="0"/>
      </w:pPr>
    </w:lvl>
  </w:abstractNum>
  <w:abstractNum w:abstractNumId="5">
    <w:nsid w:val="78E837F0"/>
    <w:multiLevelType w:val="singleLevel"/>
    <w:tmpl w:val="78E837F0"/>
    <w:lvl w:ilvl="0" w:tentative="0">
      <w:start w:val="4"/>
      <w:numFmt w:val="chineseCounting"/>
      <w:suff w:val="nothing"/>
      <w:lvlText w:val="%1、"/>
      <w:lvlJc w:val="left"/>
      <w:rPr>
        <w:rFonts w:hint="eastAsia"/>
      </w:rPr>
    </w:lvl>
  </w:abstractNum>
  <w:num w:numId="1">
    <w:abstractNumId w:val="4"/>
  </w:num>
  <w:num w:numId="2">
    <w:abstractNumId w:val="0"/>
  </w:num>
  <w:num w:numId="3">
    <w:abstractNumId w:val="3"/>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485212D"/>
    <w:rsid w:val="18CC7E7C"/>
    <w:rsid w:val="21693BD7"/>
    <w:rsid w:val="289A7A6F"/>
    <w:rsid w:val="31BB7A79"/>
    <w:rsid w:val="378E0433"/>
    <w:rsid w:val="39D67C5B"/>
    <w:rsid w:val="44274666"/>
    <w:rsid w:val="4FDC1238"/>
    <w:rsid w:val="56330960"/>
    <w:rsid w:val="62552545"/>
    <w:rsid w:val="691727F0"/>
    <w:rsid w:val="79BD5159"/>
    <w:rsid w:val="7A3061A8"/>
    <w:rsid w:val="7DF46D52"/>
    <w:rsid w:val="7E5A7F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5">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1</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dcterms:modified xsi:type="dcterms:W3CDTF">2020-05-22T08:06:22Z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