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423A12">
      <w:pPr>
        <w:spacing w:line="360" w:lineRule="auto"/>
        <w:jc w:val="center"/>
        <w:rPr>
          <w:rFonts w:hint="eastAsia" w:ascii="宋体" w:hAnsi="宋体"/>
          <w:sz w:val="36"/>
          <w:szCs w:val="36"/>
          <w:lang w:val="en-US" w:eastAsia="zh-CN"/>
        </w:rPr>
      </w:pPr>
      <w:r>
        <w:rPr>
          <w:rFonts w:hint="eastAsia" w:ascii="宋体" w:hAnsi="宋体"/>
          <w:sz w:val="36"/>
          <w:szCs w:val="36"/>
          <w:lang w:val="en-US" w:eastAsia="zh-CN"/>
        </w:rPr>
        <w:t xml:space="preserve"> </w:t>
      </w:r>
    </w:p>
    <w:p w14:paraId="050F8D2B">
      <w:pPr>
        <w:spacing w:line="360" w:lineRule="auto"/>
        <w:jc w:val="center"/>
        <w:rPr>
          <w:rFonts w:hint="eastAsia" w:ascii="仿宋" w:hAnsi="仿宋" w:eastAsia="仿宋" w:cs="仿宋"/>
          <w:sz w:val="32"/>
          <w:szCs w:val="32"/>
        </w:rPr>
      </w:pPr>
      <w:r>
        <w:rPr>
          <w:rFonts w:hint="eastAsia" w:ascii="宋体" w:hAnsi="宋体"/>
          <w:sz w:val="36"/>
          <w:szCs w:val="36"/>
          <w:lang w:val="en-US" w:eastAsia="zh-CN"/>
        </w:rPr>
        <w:t>光荣院运行经费2018</w:t>
      </w:r>
      <w:r>
        <w:rPr>
          <w:rFonts w:hint="eastAsia" w:ascii="宋体" w:hAnsi="宋体"/>
          <w:sz w:val="36"/>
          <w:szCs w:val="36"/>
        </w:rPr>
        <w:t>年度绩效自评报告</w:t>
      </w:r>
    </w:p>
    <w:p w14:paraId="1A70789C">
      <w:pPr>
        <w:spacing w:line="360" w:lineRule="auto"/>
        <w:jc w:val="center"/>
        <w:rPr>
          <w:rFonts w:hint="eastAsia" w:ascii="华文楷体" w:eastAsia="华文楷体"/>
          <w:sz w:val="32"/>
          <w:szCs w:val="32"/>
        </w:rPr>
      </w:pPr>
    </w:p>
    <w:p w14:paraId="40960239">
      <w:pPr>
        <w:spacing w:line="360" w:lineRule="auto"/>
        <w:jc w:val="center"/>
        <w:rPr>
          <w:rFonts w:hint="eastAsia" w:ascii="华文楷体" w:eastAsia="华文楷体"/>
          <w:sz w:val="32"/>
          <w:szCs w:val="32"/>
        </w:rPr>
      </w:pPr>
    </w:p>
    <w:p w14:paraId="2E7B5E40">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val="en-US" w:eastAsia="zh-CN"/>
        </w:rPr>
        <w:t>光荣院运行经费</w:t>
      </w:r>
      <w:r>
        <w:rPr>
          <w:rFonts w:hint="eastAsia" w:ascii="仿宋_GB2312" w:eastAsia="仿宋_GB2312"/>
          <w:sz w:val="32"/>
          <w:szCs w:val="32"/>
        </w:rPr>
        <w:t>项目实施了绩效评价，形成本评价报告。</w:t>
      </w:r>
    </w:p>
    <w:p w14:paraId="41AFC9F0">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2BE0B297">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1E8FFBF9">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14:paraId="4529AC4E">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本项目实施单位为石家庄市藁城区光荣院，项目名称为光荣院运行经费，为保障参战无子女赡养的残疾军人，老复员军人，参战遗属生活和医疗以及光荣院日常维护及运行而而设立。</w:t>
      </w:r>
    </w:p>
    <w:p w14:paraId="77F574E0">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14:paraId="58995CF8">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项目主要实施内容及范围为</w:t>
      </w:r>
      <w:bookmarkStart w:id="0" w:name="_GoBack"/>
      <w:bookmarkEnd w:id="0"/>
      <w:r>
        <w:rPr>
          <w:rFonts w:hint="eastAsia" w:ascii="仿宋_GB2312" w:eastAsia="仿宋_GB2312"/>
          <w:sz w:val="32"/>
          <w:szCs w:val="32"/>
          <w:lang w:val="en-US" w:eastAsia="zh-CN"/>
        </w:rPr>
        <w:t>无子女赡养革命老人提供医疗、生活保障以及保证光荣院日常运作。</w:t>
      </w:r>
    </w:p>
    <w:p w14:paraId="28325E15">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项目资金投入情况（资金数量、资金结构、资金来源渠道等）</w:t>
      </w:r>
    </w:p>
    <w:p w14:paraId="232FF81D">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val="en-US" w:eastAsia="zh-CN"/>
        </w:rPr>
        <w:t>本项目共有资金38.09万元，为本级配套资金。</w:t>
      </w:r>
    </w:p>
    <w:p w14:paraId="483D6FBC">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14:paraId="59542E5A">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（1）根据光荣院日常管理办法，严格按照要求执行，对老人医疗、生活补助效率，光荣院日常清洁、维护工作，办公水电费支出得到保障，切实改善老人居住生活条件，使供养的老人感受到国家的关怀与温暖。</w:t>
      </w:r>
    </w:p>
    <w:p w14:paraId="64F06AC6">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（2）严格把关，按照文件要求以及财政制度合理使用本资金，及时足额发放老人生活补助以及完成日常公用，保障光荣院的正常运行。</w:t>
      </w:r>
    </w:p>
    <w:p w14:paraId="2E58028C">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0D92605D">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总目标为保障优抚对象医疗、生活以及光荣院正常运行。绩效指标为优抚老人生活、医疗得到保障，日常办公经费、水电费取暖费及时足额发放，院内日常维修维护，清洁保洁。</w:t>
      </w:r>
    </w:p>
    <w:p w14:paraId="543A8E20">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14:paraId="25D1D2FB">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14:paraId="0813ADB6">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绩效自评为本单位内部对这一整年度工作状况、资金支出的自我认识及评价，有利于对整个年度资金的支出进行充分的了解，有利于后续工作的顺利开展。</w:t>
      </w:r>
    </w:p>
    <w:p w14:paraId="588DDCA0">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448D8703">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按照财政系统中的收支记录，对资金来源去向做到大致了解，之后再按照支出的实际情况进行补充、总结，最终完成绩效自评。</w:t>
      </w:r>
    </w:p>
    <w:p w14:paraId="4CD4CF19">
      <w:pPr>
        <w:numPr>
          <w:ilvl w:val="0"/>
          <w:numId w:val="2"/>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14:paraId="685E00C1">
      <w:pPr>
        <w:numPr>
          <w:ilvl w:val="0"/>
          <w:numId w:val="0"/>
        </w:num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绩效自评包括自评表和自评报告，其中包括的内容为资金来源、数量，资金所达到的预期目标，如产出指标、效果指标和满意度指标，产出指标又细分为数量指标、质量指标等，效果指标包括社会效益指标、可持续影响指标、生态指标等。从这些指标中更加清楚的认识到本单位资金所达到的目标是否符合预期，便于在之后的工作，更好的利用资金，达成效果。</w:t>
      </w:r>
    </w:p>
    <w:p w14:paraId="5FF1891B">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14:paraId="3DB1C458">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14:paraId="0753DF7E">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val="en-US" w:eastAsia="zh-CN"/>
        </w:rPr>
        <w:t>资金</w:t>
      </w:r>
      <w:r>
        <w:rPr>
          <w:rFonts w:hint="eastAsia" w:ascii="仿宋_GB2312" w:eastAsia="仿宋_GB2312"/>
          <w:sz w:val="32"/>
          <w:szCs w:val="32"/>
        </w:rPr>
        <w:t>的实际完成率</w:t>
      </w:r>
      <w:r>
        <w:rPr>
          <w:rFonts w:hint="eastAsia" w:ascii="仿宋_GB2312" w:eastAsia="仿宋_GB2312"/>
          <w:sz w:val="32"/>
          <w:szCs w:val="32"/>
          <w:lang w:val="en-US" w:eastAsia="zh-CN"/>
        </w:rPr>
        <w:t>达到100%</w:t>
      </w:r>
    </w:p>
    <w:p w14:paraId="3DD339B7">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w:t>
      </w:r>
      <w:r>
        <w:rPr>
          <w:rFonts w:hint="eastAsia" w:ascii="仿宋_GB2312" w:eastAsia="仿宋_GB2312"/>
          <w:sz w:val="32"/>
          <w:szCs w:val="32"/>
          <w:lang w:val="en-US" w:eastAsia="zh-CN"/>
        </w:rPr>
        <w:t>资金</w:t>
      </w:r>
      <w:r>
        <w:rPr>
          <w:rFonts w:hint="eastAsia" w:ascii="仿宋_GB2312" w:eastAsia="仿宋_GB2312"/>
          <w:sz w:val="32"/>
          <w:szCs w:val="32"/>
        </w:rPr>
        <w:t>完成及时率</w:t>
      </w:r>
      <w:r>
        <w:rPr>
          <w:rFonts w:hint="eastAsia" w:ascii="仿宋_GB2312" w:eastAsia="仿宋_GB2312"/>
          <w:sz w:val="32"/>
          <w:szCs w:val="32"/>
          <w:lang w:val="en-US" w:eastAsia="zh-CN"/>
        </w:rPr>
        <w:t>达到100%</w:t>
      </w:r>
    </w:p>
    <w:p w14:paraId="4B38BA86">
      <w:pPr>
        <w:ind w:firstLine="640" w:firstLineChars="200"/>
        <w:rPr>
          <w:rFonts w:hint="default" w:ascii="仿宋_GB2312" w:eastAsia="仿宋_GB2312"/>
          <w:sz w:val="32"/>
          <w:szCs w:val="32"/>
          <w:lang w:val="en-US"/>
        </w:rPr>
      </w:pPr>
      <w:r>
        <w:rPr>
          <w:rFonts w:hint="eastAsia" w:ascii="仿宋_GB2312" w:eastAsia="仿宋_GB2312"/>
          <w:sz w:val="32"/>
          <w:szCs w:val="32"/>
        </w:rPr>
        <w:t>3、</w:t>
      </w:r>
      <w:r>
        <w:rPr>
          <w:rFonts w:hint="eastAsia" w:ascii="仿宋_GB2312" w:eastAsia="仿宋_GB2312"/>
          <w:sz w:val="32"/>
          <w:szCs w:val="32"/>
          <w:lang w:val="en-US" w:eastAsia="zh-CN"/>
        </w:rPr>
        <w:t>资金</w:t>
      </w:r>
      <w:r>
        <w:rPr>
          <w:rFonts w:hint="eastAsia" w:ascii="仿宋_GB2312" w:eastAsia="仿宋_GB2312"/>
          <w:sz w:val="32"/>
          <w:szCs w:val="32"/>
        </w:rPr>
        <w:t>完成质量达标率</w:t>
      </w:r>
      <w:r>
        <w:rPr>
          <w:rFonts w:hint="eastAsia" w:ascii="仿宋_GB2312" w:eastAsia="仿宋_GB2312"/>
          <w:sz w:val="32"/>
          <w:szCs w:val="32"/>
          <w:lang w:val="en-US" w:eastAsia="zh-CN"/>
        </w:rPr>
        <w:t>达到100%</w:t>
      </w:r>
    </w:p>
    <w:p w14:paraId="4CD108D7">
      <w:pPr>
        <w:ind w:firstLine="642"/>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（二）效益指标完成情况分析</w:t>
      </w:r>
    </w:p>
    <w:p w14:paraId="69052E73">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光荣院集中供养对象医疗、生活得到保障，基本的生活需要得到保障。切实感受到党和国家的关心和温暖。</w:t>
      </w:r>
    </w:p>
    <w:p w14:paraId="79B660D7">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14:paraId="3C64924E">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集中供养的老人满意度达到100%，光荣院职工对日常工作环境满意度达到100%。</w:t>
      </w:r>
    </w:p>
    <w:p w14:paraId="149A0E6C">
      <w:pPr>
        <w:numPr>
          <w:ilvl w:val="0"/>
          <w:numId w:val="3"/>
        </w:numPr>
        <w:ind w:firstLine="640" w:firstLineChars="200"/>
        <w:rPr>
          <w:rFonts w:hint="eastAsia" w:ascii="黑体" w:hAnsi="黑体" w:eastAsia="黑体"/>
          <w:sz w:val="32"/>
          <w:szCs w:val="32"/>
        </w:rPr>
      </w:pPr>
      <w:r>
        <w:rPr>
          <w:rFonts w:hint="eastAsia" w:ascii="黑体" w:hAnsi="黑体" w:eastAsia="黑体"/>
          <w:sz w:val="32"/>
          <w:szCs w:val="32"/>
        </w:rPr>
        <w:t>项目综合评价结论和评价等级</w:t>
      </w:r>
    </w:p>
    <w:p w14:paraId="588D0B1E">
      <w:pPr>
        <w:numPr>
          <w:ilvl w:val="0"/>
          <w:numId w:val="0"/>
        </w:numPr>
        <w:rPr>
          <w:rFonts w:hint="default" w:ascii="仿宋_GB2312" w:eastAsia="仿宋_GB2312"/>
          <w:sz w:val="32"/>
          <w:szCs w:val="32"/>
          <w:lang w:val="en-US" w:eastAsia="zh-CN"/>
        </w:rPr>
      </w:pPr>
      <w:r>
        <w:rPr>
          <w:rFonts w:hint="eastAsia" w:ascii="黑体" w:hAnsi="黑体" w:eastAsia="黑体"/>
          <w:sz w:val="32"/>
          <w:szCs w:val="32"/>
          <w:lang w:val="en-US" w:eastAsia="zh-CN"/>
        </w:rPr>
        <w:t xml:space="preserve"> </w:t>
      </w:r>
      <w:r>
        <w:rPr>
          <w:rFonts w:hint="eastAsia" w:ascii="仿宋_GB2312" w:eastAsia="仿宋_GB2312"/>
          <w:sz w:val="32"/>
          <w:szCs w:val="32"/>
          <w:lang w:val="en-US" w:eastAsia="zh-CN"/>
        </w:rPr>
        <w:t xml:space="preserve">  光荣院运行经费支出率达到100%，老人补贴发放及时，基本生活、医疗得到保障，光荣院正常运行。项目指标体系为100分，项目综合绩效评价优秀。</w:t>
      </w:r>
    </w:p>
    <w:p w14:paraId="5AA45877">
      <w:pPr>
        <w:ind w:firstLine="640" w:firstLineChars="200"/>
        <w:rPr>
          <w:rFonts w:hint="eastAsia" w:ascii="仿宋_GB2312" w:eastAsia="仿宋_GB2312"/>
          <w:sz w:val="32"/>
          <w:szCs w:val="32"/>
          <w:lang w:val="en-US" w:eastAsia="zh-CN"/>
        </w:rPr>
      </w:pPr>
      <w:r>
        <w:rPr>
          <w:rFonts w:hint="eastAsia" w:ascii="黑体" w:hAnsi="黑体" w:eastAsia="黑体"/>
          <w:sz w:val="32"/>
          <w:szCs w:val="32"/>
        </w:rPr>
        <w:t>五、存在的问题及改进措施</w:t>
      </w:r>
    </w:p>
    <w:p w14:paraId="26DDF1F2">
      <w:p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无存在问题，下一步工作则是再接再厉，为老人提供更为周到的服务与保障，使其老有所依，感受到党和国家的关怀。</w:t>
      </w:r>
    </w:p>
    <w:p w14:paraId="1CD864D8">
      <w:pPr>
        <w:numPr>
          <w:ilvl w:val="0"/>
          <w:numId w:val="3"/>
        </w:numPr>
        <w:adjustRightInd w:val="0"/>
        <w:snapToGrid w:val="0"/>
        <w:spacing w:line="360" w:lineRule="auto"/>
        <w:ind w:left="0" w:leftChars="0" w:firstLine="640" w:firstLineChars="200"/>
        <w:rPr>
          <w:rFonts w:hint="eastAsia" w:ascii="仿宋_GB2312" w:eastAsia="仿宋_GB2312"/>
          <w:sz w:val="32"/>
          <w:szCs w:val="32"/>
        </w:rPr>
      </w:pPr>
      <w:r>
        <w:rPr>
          <w:rFonts w:hint="eastAsia" w:ascii="黑体" w:eastAsia="黑体"/>
          <w:sz w:val="32"/>
          <w:szCs w:val="32"/>
        </w:rPr>
        <w:t>评价工作组人员名单及签字</w:t>
      </w:r>
      <w:r>
        <w:rPr>
          <w:rFonts w:hint="eastAsia" w:ascii="仿宋_GB2312" w:eastAsia="仿宋_GB2312"/>
          <w:sz w:val="32"/>
          <w:szCs w:val="32"/>
        </w:rPr>
        <w:t>（姓名、工作单位、职务、职称）</w:t>
      </w:r>
    </w:p>
    <w:p w14:paraId="74CFFE6B">
      <w:pPr>
        <w:numPr>
          <w:ilvl w:val="0"/>
          <w:numId w:val="0"/>
        </w:numPr>
        <w:adjustRightInd w:val="0"/>
        <w:snapToGrid w:val="0"/>
        <w:spacing w:line="360" w:lineRule="auto"/>
        <w:ind w:leftChars="200"/>
        <w:rPr>
          <w:rFonts w:hint="eastAsia" w:ascii="仿宋_GB2312" w:eastAsia="仿宋_GB2312"/>
          <w:sz w:val="32"/>
          <w:szCs w:val="32"/>
        </w:rPr>
      </w:pP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1550"/>
        <w:gridCol w:w="2867"/>
        <w:gridCol w:w="1264"/>
        <w:gridCol w:w="1705"/>
      </w:tblGrid>
      <w:tr w14:paraId="737F262D">
        <w:tblPrEx>
          <w:tblCellMar>
            <w:top w:w="0" w:type="dxa"/>
            <w:left w:w="108" w:type="dxa"/>
            <w:bottom w:w="0" w:type="dxa"/>
            <w:right w:w="108" w:type="dxa"/>
          </w:tblCellMar>
        </w:tblPrEx>
        <w:trPr>
          <w:trHeight w:val="885" w:hRule="atLeast"/>
        </w:trPr>
        <w:tc>
          <w:tcPr>
            <w:tcW w:w="1136" w:type="dxa"/>
          </w:tcPr>
          <w:p w14:paraId="28F00E64">
            <w:pPr>
              <w:adjustRightInd w:val="0"/>
              <w:snapToGrid w:val="0"/>
              <w:spacing w:line="360" w:lineRule="auto"/>
              <w:ind w:firstLine="300" w:firstLineChars="100"/>
              <w:jc w:val="both"/>
              <w:rPr>
                <w:rFonts w:hint="eastAsia" w:ascii="仿宋_GB2312" w:eastAsia="仿宋_GB2312"/>
                <w:sz w:val="30"/>
                <w:szCs w:val="30"/>
                <w:lang w:val="en-US" w:eastAsia="zh-CN"/>
              </w:rPr>
            </w:pPr>
            <w:r>
              <w:rPr>
                <w:rFonts w:hint="eastAsia" w:ascii="仿宋_GB2312" w:eastAsia="仿宋_GB2312"/>
                <w:sz w:val="30"/>
                <w:szCs w:val="30"/>
                <w:lang w:val="en-US" w:eastAsia="zh-CN"/>
              </w:rPr>
              <w:t>序号</w:t>
            </w:r>
          </w:p>
        </w:tc>
        <w:tc>
          <w:tcPr>
            <w:tcW w:w="1550" w:type="dxa"/>
          </w:tcPr>
          <w:p w14:paraId="7EE882E2">
            <w:pPr>
              <w:adjustRightInd w:val="0"/>
              <w:snapToGrid w:val="0"/>
              <w:spacing w:line="360" w:lineRule="auto"/>
              <w:ind w:firstLine="300" w:firstLineChars="100"/>
              <w:jc w:val="both"/>
              <w:rPr>
                <w:rFonts w:hint="eastAsia" w:ascii="仿宋_GB2312" w:eastAsia="仿宋_GB2312"/>
                <w:sz w:val="30"/>
                <w:szCs w:val="30"/>
                <w:lang w:val="en-US" w:eastAsia="zh-CN"/>
              </w:rPr>
            </w:pPr>
            <w:r>
              <w:rPr>
                <w:rFonts w:hint="eastAsia" w:ascii="仿宋_GB2312" w:eastAsia="仿宋_GB2312"/>
                <w:sz w:val="30"/>
                <w:szCs w:val="30"/>
                <w:lang w:val="en-US" w:eastAsia="zh-CN"/>
              </w:rPr>
              <w:t>姓名</w:t>
            </w:r>
          </w:p>
        </w:tc>
        <w:tc>
          <w:tcPr>
            <w:tcW w:w="2867" w:type="dxa"/>
          </w:tcPr>
          <w:p w14:paraId="5A632B40">
            <w:pPr>
              <w:adjustRightInd w:val="0"/>
              <w:snapToGrid w:val="0"/>
              <w:spacing w:line="360" w:lineRule="auto"/>
              <w:ind w:firstLine="600" w:firstLineChars="200"/>
              <w:jc w:val="both"/>
              <w:rPr>
                <w:rFonts w:hint="default" w:ascii="仿宋_GB2312" w:eastAsia="仿宋_GB2312"/>
                <w:sz w:val="30"/>
                <w:szCs w:val="30"/>
                <w:lang w:val="en-US" w:eastAsia="zh-CN"/>
              </w:rPr>
            </w:pPr>
            <w:r>
              <w:rPr>
                <w:rFonts w:hint="eastAsia" w:ascii="仿宋_GB2312" w:eastAsia="仿宋_GB2312"/>
                <w:sz w:val="30"/>
                <w:szCs w:val="30"/>
                <w:lang w:val="en-US" w:eastAsia="zh-CN"/>
              </w:rPr>
              <w:t>工作单位</w:t>
            </w:r>
          </w:p>
        </w:tc>
        <w:tc>
          <w:tcPr>
            <w:tcW w:w="1264" w:type="dxa"/>
          </w:tcPr>
          <w:p w14:paraId="73D4B610">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职务</w:t>
            </w:r>
          </w:p>
        </w:tc>
        <w:tc>
          <w:tcPr>
            <w:tcW w:w="1705" w:type="dxa"/>
          </w:tcPr>
          <w:p w14:paraId="1E34726D">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签字</w:t>
            </w:r>
          </w:p>
        </w:tc>
      </w:tr>
      <w:tr w14:paraId="4525C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1136" w:type="dxa"/>
          </w:tcPr>
          <w:p w14:paraId="5EC83CAE">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w:t>
            </w:r>
          </w:p>
        </w:tc>
        <w:tc>
          <w:tcPr>
            <w:tcW w:w="1550" w:type="dxa"/>
          </w:tcPr>
          <w:p w14:paraId="148E9F01">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李梅军</w:t>
            </w:r>
          </w:p>
        </w:tc>
        <w:tc>
          <w:tcPr>
            <w:tcW w:w="2867" w:type="dxa"/>
          </w:tcPr>
          <w:p w14:paraId="4A8CC215">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264" w:type="dxa"/>
          </w:tcPr>
          <w:p w14:paraId="48D80101">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副局长</w:t>
            </w:r>
          </w:p>
        </w:tc>
        <w:tc>
          <w:tcPr>
            <w:tcW w:w="1705" w:type="dxa"/>
          </w:tcPr>
          <w:p w14:paraId="01E0659C">
            <w:pPr>
              <w:adjustRightInd w:val="0"/>
              <w:snapToGrid w:val="0"/>
              <w:spacing w:line="360" w:lineRule="auto"/>
              <w:ind w:firstLine="640" w:firstLineChars="200"/>
              <w:jc w:val="center"/>
              <w:rPr>
                <w:rFonts w:hint="eastAsia" w:ascii="仿宋_GB2312" w:eastAsia="仿宋_GB2312"/>
                <w:sz w:val="32"/>
                <w:szCs w:val="32"/>
              </w:rPr>
            </w:pPr>
          </w:p>
        </w:tc>
      </w:tr>
      <w:tr w14:paraId="1A24B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6" w:type="dxa"/>
          </w:tcPr>
          <w:p w14:paraId="17E2DCDD">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w:t>
            </w:r>
          </w:p>
        </w:tc>
        <w:tc>
          <w:tcPr>
            <w:tcW w:w="1550" w:type="dxa"/>
          </w:tcPr>
          <w:p w14:paraId="3211FB5F">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牛振国</w:t>
            </w:r>
          </w:p>
        </w:tc>
        <w:tc>
          <w:tcPr>
            <w:tcW w:w="2867" w:type="dxa"/>
          </w:tcPr>
          <w:p w14:paraId="199D95C7">
            <w:pPr>
              <w:adjustRightInd w:val="0"/>
              <w:snapToGrid w:val="0"/>
              <w:spacing w:line="360" w:lineRule="auto"/>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光荣院</w:t>
            </w:r>
          </w:p>
        </w:tc>
        <w:tc>
          <w:tcPr>
            <w:tcW w:w="1264" w:type="dxa"/>
          </w:tcPr>
          <w:p w14:paraId="55C5F965">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院长</w:t>
            </w:r>
          </w:p>
        </w:tc>
        <w:tc>
          <w:tcPr>
            <w:tcW w:w="1705" w:type="dxa"/>
          </w:tcPr>
          <w:p w14:paraId="3661E12B">
            <w:pPr>
              <w:adjustRightInd w:val="0"/>
              <w:snapToGrid w:val="0"/>
              <w:spacing w:line="360" w:lineRule="auto"/>
              <w:ind w:firstLine="640" w:firstLineChars="200"/>
              <w:jc w:val="center"/>
              <w:rPr>
                <w:rFonts w:hint="eastAsia" w:ascii="仿宋_GB2312" w:eastAsia="仿宋_GB2312"/>
                <w:sz w:val="32"/>
                <w:szCs w:val="32"/>
              </w:rPr>
            </w:pPr>
          </w:p>
        </w:tc>
      </w:tr>
      <w:tr w14:paraId="5286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6" w:type="dxa"/>
            <w:vAlign w:val="top"/>
          </w:tcPr>
          <w:p w14:paraId="666C17FA">
            <w:pPr>
              <w:adjustRightInd w:val="0"/>
              <w:snapToGrid w:val="0"/>
              <w:spacing w:line="360" w:lineRule="auto"/>
              <w:ind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w:t>
            </w:r>
          </w:p>
        </w:tc>
        <w:tc>
          <w:tcPr>
            <w:tcW w:w="1550" w:type="dxa"/>
            <w:vAlign w:val="top"/>
          </w:tcPr>
          <w:p w14:paraId="70D27435">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李静</w:t>
            </w:r>
          </w:p>
        </w:tc>
        <w:tc>
          <w:tcPr>
            <w:tcW w:w="2867" w:type="dxa"/>
            <w:vAlign w:val="top"/>
          </w:tcPr>
          <w:p w14:paraId="7DE935D8">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退役军人事务局</w:t>
            </w:r>
          </w:p>
        </w:tc>
        <w:tc>
          <w:tcPr>
            <w:tcW w:w="1264" w:type="dxa"/>
            <w:vAlign w:val="top"/>
          </w:tcPr>
          <w:p w14:paraId="618A5679">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科长</w:t>
            </w:r>
          </w:p>
        </w:tc>
        <w:tc>
          <w:tcPr>
            <w:tcW w:w="1705" w:type="dxa"/>
          </w:tcPr>
          <w:p w14:paraId="38CED8CA">
            <w:pPr>
              <w:adjustRightInd w:val="0"/>
              <w:snapToGrid w:val="0"/>
              <w:spacing w:line="360" w:lineRule="auto"/>
              <w:ind w:firstLine="640" w:firstLineChars="200"/>
              <w:jc w:val="center"/>
              <w:rPr>
                <w:rFonts w:hint="eastAsia" w:ascii="仿宋_GB2312" w:eastAsia="仿宋_GB2312"/>
                <w:sz w:val="32"/>
                <w:szCs w:val="32"/>
              </w:rPr>
            </w:pPr>
          </w:p>
        </w:tc>
      </w:tr>
      <w:tr w14:paraId="4F295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6" w:type="dxa"/>
          </w:tcPr>
          <w:p w14:paraId="10386009">
            <w:pPr>
              <w:adjustRightInd w:val="0"/>
              <w:snapToGrid w:val="0"/>
              <w:spacing w:line="360" w:lineRule="auto"/>
              <w:ind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p>
        </w:tc>
        <w:tc>
          <w:tcPr>
            <w:tcW w:w="1550" w:type="dxa"/>
            <w:vAlign w:val="top"/>
          </w:tcPr>
          <w:p w14:paraId="1D66D2D9">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徐文静</w:t>
            </w:r>
          </w:p>
        </w:tc>
        <w:tc>
          <w:tcPr>
            <w:tcW w:w="2867" w:type="dxa"/>
          </w:tcPr>
          <w:p w14:paraId="6B32BA1D">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退役军人服务中心</w:t>
            </w:r>
          </w:p>
        </w:tc>
        <w:tc>
          <w:tcPr>
            <w:tcW w:w="1264" w:type="dxa"/>
          </w:tcPr>
          <w:p w14:paraId="6AB0269F">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职员</w:t>
            </w:r>
          </w:p>
        </w:tc>
        <w:tc>
          <w:tcPr>
            <w:tcW w:w="1705" w:type="dxa"/>
          </w:tcPr>
          <w:p w14:paraId="5AD9AE61">
            <w:pPr>
              <w:adjustRightInd w:val="0"/>
              <w:snapToGrid w:val="0"/>
              <w:spacing w:line="360" w:lineRule="auto"/>
              <w:ind w:firstLine="640" w:firstLineChars="200"/>
              <w:jc w:val="center"/>
              <w:rPr>
                <w:rFonts w:hint="eastAsia" w:ascii="仿宋_GB2312" w:eastAsia="仿宋_GB2312"/>
                <w:sz w:val="32"/>
                <w:szCs w:val="32"/>
              </w:rPr>
            </w:pPr>
          </w:p>
        </w:tc>
      </w:tr>
    </w:tbl>
    <w:p w14:paraId="03800542">
      <w:pPr>
        <w:jc w:val="right"/>
        <w:rPr>
          <w:rFonts w:hint="eastAsia"/>
          <w:lang w:val="en-US" w:eastAsia="zh-CN"/>
        </w:rPr>
      </w:pPr>
    </w:p>
    <w:p w14:paraId="1BDC5CCC">
      <w:pPr>
        <w:rPr>
          <w:rFonts w:hint="eastAsia" w:ascii="仿宋_GB2312" w:eastAsia="仿宋_GB2312"/>
          <w:sz w:val="32"/>
          <w:szCs w:val="32"/>
          <w:lang w:val="en-US" w:eastAsia="zh-CN"/>
        </w:rPr>
      </w:pPr>
    </w:p>
    <w:p w14:paraId="5B1227F1">
      <w:pPr>
        <w:rPr>
          <w:rFonts w:hint="eastAsia" w:ascii="仿宋_GB2312" w:eastAsia="仿宋_GB2312"/>
          <w:sz w:val="32"/>
          <w:szCs w:val="32"/>
          <w:lang w:val="en-US" w:eastAsia="zh-CN"/>
        </w:rPr>
      </w:pPr>
    </w:p>
    <w:p w14:paraId="02FE9A23">
      <w:pPr>
        <w:jc w:val="right"/>
        <w:rPr>
          <w:rFonts w:hint="default" w:ascii="仿宋_GB2312" w:eastAsia="仿宋_GB2312"/>
          <w:sz w:val="32"/>
          <w:szCs w:val="32"/>
          <w:lang w:val="en-US" w:eastAsia="zh-CN"/>
        </w:rPr>
      </w:pPr>
      <w:r>
        <w:rPr>
          <w:rFonts w:hint="eastAsia" w:ascii="仿宋_GB2312" w:eastAsia="仿宋_GB2312"/>
          <w:sz w:val="32"/>
          <w:szCs w:val="32"/>
          <w:lang w:val="en-US" w:eastAsia="zh-CN"/>
        </w:rPr>
        <w:t>石家庄市藁城区光荣院</w:t>
      </w:r>
    </w:p>
    <w:p w14:paraId="30501372">
      <w:pPr>
        <w:ind w:firstLine="5440" w:firstLineChars="1700"/>
        <w:rPr>
          <w:rFonts w:hint="default" w:ascii="仿宋_GB2312" w:eastAsia="仿宋_GB2312"/>
          <w:sz w:val="32"/>
          <w:szCs w:val="32"/>
          <w:lang w:val="en-US" w:eastAsia="zh-CN"/>
        </w:rPr>
      </w:pPr>
      <w:r>
        <w:rPr>
          <w:rFonts w:hint="eastAsia" w:ascii="仿宋_GB2312" w:eastAsia="仿宋_GB2312"/>
          <w:sz w:val="32"/>
          <w:szCs w:val="32"/>
          <w:lang w:val="en-US" w:eastAsia="zh-CN"/>
        </w:rPr>
        <w:t>2020年5月22日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4ABFFD"/>
    <w:multiLevelType w:val="singleLevel"/>
    <w:tmpl w:val="914ABFFD"/>
    <w:lvl w:ilvl="0" w:tentative="0">
      <w:start w:val="2"/>
      <w:numFmt w:val="chineseCounting"/>
      <w:suff w:val="nothing"/>
      <w:lvlText w:val="（%1）"/>
      <w:lvlJc w:val="left"/>
      <w:rPr>
        <w:rFonts w:hint="eastAsia"/>
      </w:rPr>
    </w:lvl>
  </w:abstractNum>
  <w:abstractNum w:abstractNumId="1">
    <w:nsid w:val="B65917F6"/>
    <w:multiLevelType w:val="singleLevel"/>
    <w:tmpl w:val="B65917F6"/>
    <w:lvl w:ilvl="0" w:tentative="0">
      <w:start w:val="2"/>
      <w:numFmt w:val="decimal"/>
      <w:lvlText w:val="%1."/>
      <w:lvlJc w:val="left"/>
      <w:pPr>
        <w:tabs>
          <w:tab w:val="left" w:pos="312"/>
        </w:tabs>
        <w:ind w:left="800" w:leftChars="0" w:firstLine="0" w:firstLineChars="0"/>
      </w:pPr>
    </w:lvl>
  </w:abstractNum>
  <w:abstractNum w:abstractNumId="2">
    <w:nsid w:val="78E837F0"/>
    <w:multiLevelType w:val="singleLevel"/>
    <w:tmpl w:val="78E837F0"/>
    <w:lvl w:ilvl="0" w:tentative="0">
      <w:start w:val="4"/>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F23ED"/>
    <w:rsid w:val="00435163"/>
    <w:rsid w:val="00DF23ED"/>
    <w:rsid w:val="06F529C5"/>
    <w:rsid w:val="0BEE1DF5"/>
    <w:rsid w:val="117F7B2D"/>
    <w:rsid w:val="15301140"/>
    <w:rsid w:val="17800EAB"/>
    <w:rsid w:val="19D42B02"/>
    <w:rsid w:val="208D52A4"/>
    <w:rsid w:val="2A5D229C"/>
    <w:rsid w:val="2FBA6EB7"/>
    <w:rsid w:val="324E44B0"/>
    <w:rsid w:val="35353487"/>
    <w:rsid w:val="3C657E54"/>
    <w:rsid w:val="408B3075"/>
    <w:rsid w:val="4EB73107"/>
    <w:rsid w:val="51081B79"/>
    <w:rsid w:val="56330960"/>
    <w:rsid w:val="5A4A696E"/>
    <w:rsid w:val="60D80D4E"/>
    <w:rsid w:val="625E5EF1"/>
    <w:rsid w:val="7B220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1320</Words>
  <Characters>1357</Characters>
  <Lines>5</Lines>
  <Paragraphs>1</Paragraphs>
  <TotalTime>6</TotalTime>
  <ScaleCrop>false</ScaleCrop>
  <LinksUpToDate>false</LinksUpToDate>
  <CharactersWithSpaces>1371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 </cp:lastModifiedBy>
  <dcterms:modified xsi:type="dcterms:W3CDTF">2024-08-08T02:21:47Z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CA76A94C646A499984F6CCBB482548F2_12</vt:lpwstr>
  </property>
</Properties>
</file>