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E8F1F2">
      <w:pPr>
        <w:tabs>
          <w:tab w:val="left" w:pos="1138"/>
        </w:tabs>
        <w:spacing w:line="560" w:lineRule="exact"/>
        <w:rPr>
          <w:rFonts w:ascii="黑体" w:hAnsi="黑体" w:eastAsia="黑体" w:cs="黑体"/>
          <w:sz w:val="32"/>
          <w:szCs w:val="32"/>
        </w:rPr>
      </w:pPr>
    </w:p>
    <w:p w14:paraId="2E72FE9D">
      <w:pPr>
        <w:topLinePunct/>
        <w:spacing w:line="560" w:lineRule="exact"/>
        <w:jc w:val="center"/>
        <w:textAlignment w:val="baseline"/>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关于石家庄市藁城区2019年区本级预算</w:t>
      </w:r>
    </w:p>
    <w:p w14:paraId="0A0A3C2D">
      <w:pPr>
        <w:topLinePunct/>
        <w:spacing w:line="560" w:lineRule="exact"/>
        <w:jc w:val="center"/>
        <w:textAlignment w:val="baseline"/>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及全区总预算执行情况和2020年区本级预算</w:t>
      </w:r>
    </w:p>
    <w:p w14:paraId="4126B344">
      <w:pPr>
        <w:topLinePunct/>
        <w:spacing w:line="560" w:lineRule="exact"/>
        <w:jc w:val="center"/>
        <w:textAlignment w:val="baseline"/>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及全区总预算（草案）的报告</w:t>
      </w:r>
    </w:p>
    <w:p w14:paraId="2023EBD0">
      <w:pPr>
        <w:spacing w:line="560" w:lineRule="exact"/>
        <w:jc w:val="center"/>
        <w:textAlignment w:val="baseline"/>
        <w:rPr>
          <w:rFonts w:ascii="楷体_GB2312" w:hAnsi="楷体_GB2312" w:eastAsia="楷体_GB2312" w:cs="楷体_GB2312"/>
          <w:sz w:val="32"/>
          <w:szCs w:val="32"/>
        </w:rPr>
      </w:pPr>
      <w:r>
        <w:rPr>
          <w:rFonts w:hint="eastAsia" w:ascii="楷体_GB2312" w:hAnsi="楷体_GB2312" w:eastAsia="楷体_GB2312" w:cs="楷体_GB2312"/>
          <w:sz w:val="32"/>
          <w:szCs w:val="32"/>
        </w:rPr>
        <w:t>——2020年1月19日在石家庄市藁城区第二届</w:t>
      </w:r>
    </w:p>
    <w:p w14:paraId="55A4E936">
      <w:pPr>
        <w:spacing w:line="560" w:lineRule="exact"/>
        <w:jc w:val="center"/>
        <w:textAlignment w:val="baseline"/>
        <w:rPr>
          <w:rFonts w:ascii="楷体_GB2312" w:hAnsi="楷体_GB2312" w:eastAsia="楷体_GB2312" w:cs="楷体_GB2312"/>
          <w:sz w:val="32"/>
          <w:szCs w:val="32"/>
        </w:rPr>
      </w:pPr>
      <w:r>
        <w:rPr>
          <w:rFonts w:hint="eastAsia" w:ascii="楷体_GB2312" w:hAnsi="楷体_GB2312" w:eastAsia="楷体_GB2312" w:cs="楷体_GB2312"/>
          <w:sz w:val="32"/>
          <w:szCs w:val="32"/>
        </w:rPr>
        <w:t>人民代表大会第四次会议上</w:t>
      </w:r>
    </w:p>
    <w:p w14:paraId="133BFA96">
      <w:pPr>
        <w:spacing w:after="159" w:afterLines="50" w:line="560" w:lineRule="exact"/>
        <w:jc w:val="center"/>
        <w:textAlignment w:val="baseline"/>
        <w:rPr>
          <w:rFonts w:ascii="楷体_GB2312" w:hAnsi="楷体_GB2312" w:eastAsia="楷体_GB2312" w:cs="楷体_GB2312"/>
          <w:sz w:val="32"/>
          <w:szCs w:val="32"/>
        </w:rPr>
      </w:pPr>
      <w:r>
        <w:rPr>
          <w:rFonts w:hint="eastAsia" w:ascii="楷体_GB2312" w:hAnsi="楷体_GB2312" w:eastAsia="楷体_GB2312" w:cs="楷体_GB2312"/>
          <w:sz w:val="32"/>
          <w:szCs w:val="32"/>
        </w:rPr>
        <w:t>石家庄市藁城区财政局局长    李  辉</w:t>
      </w:r>
    </w:p>
    <w:p w14:paraId="7002768D">
      <w:pPr>
        <w:spacing w:line="560" w:lineRule="exact"/>
        <w:rPr>
          <w:rFonts w:ascii="仿宋_GB2312" w:hAnsi="仿宋_GB2312" w:eastAsia="仿宋_GB2312"/>
          <w:sz w:val="32"/>
          <w:szCs w:val="44"/>
        </w:rPr>
      </w:pPr>
      <w:r>
        <w:rPr>
          <w:rFonts w:hint="eastAsia" w:ascii="仿宋_GB2312" w:hAnsi="仿宋_GB2312" w:eastAsia="仿宋_GB2312"/>
          <w:sz w:val="32"/>
          <w:szCs w:val="44"/>
        </w:rPr>
        <w:t>各位代表：</w:t>
      </w:r>
    </w:p>
    <w:p w14:paraId="44E62BC4">
      <w:pPr>
        <w:topLinePunct/>
        <w:spacing w:line="560" w:lineRule="exact"/>
        <w:ind w:firstLine="640" w:firstLineChars="200"/>
        <w:textAlignment w:val="baseline"/>
        <w:rPr>
          <w:rFonts w:ascii="仿宋_GB2312" w:hAnsi="仿宋_GB2312" w:eastAsia="仿宋_GB2312"/>
          <w:sz w:val="32"/>
          <w:szCs w:val="44"/>
        </w:rPr>
      </w:pPr>
      <w:r>
        <w:rPr>
          <w:rFonts w:hint="eastAsia" w:ascii="仿宋_GB2312" w:hAnsi="仿宋_GB2312" w:eastAsia="仿宋_GB2312"/>
          <w:sz w:val="32"/>
          <w:szCs w:val="44"/>
        </w:rPr>
        <w:t>受区政府委托，我向大会报告2019年区本级预算及全区总预算执行情况和2020年区本级预算及全区总预算草案，请予审议，并请区政协委员和列席会议的同志提出意见。</w:t>
      </w:r>
    </w:p>
    <w:p w14:paraId="70541D48">
      <w:pPr>
        <w:spacing w:line="560" w:lineRule="exact"/>
        <w:rPr>
          <w:rFonts w:ascii="黑体" w:hAnsi="黑体" w:eastAsia="黑体"/>
          <w:sz w:val="32"/>
          <w:szCs w:val="44"/>
        </w:rPr>
      </w:pPr>
      <w:r>
        <w:rPr>
          <w:rFonts w:hint="eastAsia" w:ascii="黑体" w:hAnsi="黑体" w:eastAsia="黑体"/>
          <w:sz w:val="32"/>
          <w:szCs w:val="44"/>
        </w:rPr>
        <w:t xml:space="preserve">    一、2019年预算执行情况</w:t>
      </w:r>
    </w:p>
    <w:p w14:paraId="3A595999">
      <w:pPr>
        <w:shd w:val="clear" w:color="auto" w:fill="FFFFFF"/>
        <w:snapToGrid w:val="0"/>
        <w:spacing w:line="560" w:lineRule="exact"/>
        <w:ind w:firstLine="640" w:firstLineChars="200"/>
        <w:rPr>
          <w:rFonts w:ascii="仿宋_GB2312" w:hAnsi="仿宋_GB2312" w:eastAsia="仿宋_GB2312"/>
          <w:kern w:val="0"/>
          <w:sz w:val="32"/>
          <w:szCs w:val="44"/>
        </w:rPr>
      </w:pPr>
      <w:r>
        <w:rPr>
          <w:rFonts w:hint="eastAsia" w:ascii="仿宋_GB2312" w:hAnsi="仿宋_GB2312" w:eastAsia="仿宋_GB2312"/>
          <w:sz w:val="32"/>
          <w:szCs w:val="44"/>
        </w:rPr>
        <w:t>2019年，在区委的正确领导和区人大、区政协的监督支持下，全区财税</w:t>
      </w:r>
      <w:r>
        <w:rPr>
          <w:rFonts w:hint="eastAsia" w:ascii="仿宋_GB2312" w:hAnsi="仿宋_GB2312" w:eastAsia="仿宋_GB2312"/>
          <w:color w:val="000000"/>
          <w:kern w:val="0"/>
          <w:sz w:val="32"/>
          <w:szCs w:val="44"/>
        </w:rPr>
        <w:t>工作坚持</w:t>
      </w:r>
      <w:r>
        <w:rPr>
          <w:rFonts w:hint="eastAsia" w:ascii="仿宋_GB2312" w:hAnsi="仿宋_GB2312" w:eastAsia="仿宋_GB2312"/>
          <w:color w:val="000000"/>
          <w:sz w:val="32"/>
          <w:szCs w:val="44"/>
        </w:rPr>
        <w:t>以党的十九大精神为指导，</w:t>
      </w:r>
      <w:r>
        <w:rPr>
          <w:rFonts w:ascii="仿宋_GB2312" w:hAnsi="仿宋_GB2312" w:eastAsia="仿宋_GB2312" w:cs="仿宋_GB2312"/>
          <w:kern w:val="0"/>
          <w:sz w:val="32"/>
          <w:szCs w:val="44"/>
          <w:shd w:val="clear" w:color="050000" w:fill="FFFFFF"/>
        </w:rPr>
        <w:t>认真践行习近平新时代中国特色社会主义思想，</w:t>
      </w:r>
      <w:r>
        <w:rPr>
          <w:rFonts w:hint="eastAsia" w:ascii="仿宋_GB2312" w:hAnsi="仿宋_GB2312" w:eastAsia="仿宋_GB2312" w:cs="仿宋_GB2312"/>
          <w:kern w:val="0"/>
          <w:sz w:val="32"/>
          <w:szCs w:val="44"/>
          <w:shd w:val="clear" w:color="050000" w:fill="FFFFFF"/>
        </w:rPr>
        <w:t>坚持</w:t>
      </w:r>
      <w:r>
        <w:rPr>
          <w:rFonts w:ascii="仿宋_GB2312" w:hAnsi="仿宋_GB2312" w:eastAsia="仿宋_GB2312" w:cs="仿宋_GB2312"/>
          <w:kern w:val="0"/>
          <w:sz w:val="32"/>
          <w:szCs w:val="44"/>
          <w:shd w:val="clear" w:color="050000" w:fill="FFFFFF"/>
        </w:rPr>
        <w:t>稳中求进工作</w:t>
      </w:r>
      <w:r>
        <w:rPr>
          <w:rFonts w:hint="eastAsia" w:ascii="仿宋_GB2312" w:hAnsi="仿宋_GB2312" w:eastAsia="仿宋_GB2312" w:cs="仿宋_GB2312"/>
          <w:kern w:val="0"/>
          <w:sz w:val="32"/>
          <w:szCs w:val="44"/>
          <w:shd w:val="clear" w:color="050000" w:fill="FFFFFF"/>
        </w:rPr>
        <w:t>总</w:t>
      </w:r>
      <w:r>
        <w:rPr>
          <w:rFonts w:ascii="仿宋_GB2312" w:hAnsi="仿宋_GB2312" w:eastAsia="仿宋_GB2312" w:cs="仿宋_GB2312"/>
          <w:kern w:val="0"/>
          <w:sz w:val="32"/>
          <w:szCs w:val="44"/>
          <w:shd w:val="clear" w:color="050000" w:fill="FFFFFF"/>
        </w:rPr>
        <w:t>基调，</w:t>
      </w:r>
      <w:r>
        <w:rPr>
          <w:rFonts w:hint="eastAsia" w:ascii="仿宋_GB2312" w:hAnsi="仿宋_GB2312" w:eastAsia="仿宋_GB2312"/>
          <w:color w:val="000000"/>
          <w:kern w:val="0"/>
          <w:sz w:val="32"/>
          <w:szCs w:val="44"/>
        </w:rPr>
        <w:t>全面落实高质量发展要求和中央、省、市财政工作会议精神，</w:t>
      </w:r>
      <w:r>
        <w:rPr>
          <w:rFonts w:ascii="仿宋_GB2312" w:hAnsi="Tahoma" w:eastAsia="仿宋_GB2312" w:cs="仿宋_GB2312"/>
          <w:color w:val="000000"/>
          <w:kern w:val="0"/>
          <w:sz w:val="32"/>
          <w:szCs w:val="44"/>
          <w:shd w:val="clear" w:color="auto" w:fill="FFFFFF"/>
          <w:lang w:bidi="ar"/>
        </w:rPr>
        <w:t>以全面打赢</w:t>
      </w:r>
      <w:r>
        <w:rPr>
          <w:rFonts w:hint="eastAsia" w:ascii="仿宋_GB2312" w:hAnsi="Tahoma" w:eastAsia="仿宋_GB2312" w:cs="仿宋_GB2312"/>
          <w:color w:val="000000"/>
          <w:kern w:val="0"/>
          <w:sz w:val="32"/>
          <w:szCs w:val="44"/>
          <w:shd w:val="clear" w:color="auto" w:fill="FFFFFF"/>
          <w:lang w:bidi="ar"/>
        </w:rPr>
        <w:t>三大</w:t>
      </w:r>
      <w:r>
        <w:rPr>
          <w:rFonts w:ascii="仿宋_GB2312" w:hAnsi="Tahoma" w:eastAsia="仿宋_GB2312" w:cs="仿宋_GB2312"/>
          <w:color w:val="000000"/>
          <w:kern w:val="0"/>
          <w:sz w:val="32"/>
          <w:szCs w:val="44"/>
          <w:shd w:val="clear" w:color="auto" w:fill="FFFFFF"/>
          <w:lang w:bidi="ar"/>
        </w:rPr>
        <w:t>攻坚战为统揽，稳中求进，稳中提质，切实履行职能，积极培植财源，狠抓收入征管，优化支出结构，强化资金监管,提高理财水平，</w:t>
      </w:r>
      <w:r>
        <w:rPr>
          <w:rFonts w:hint="eastAsia" w:ascii="仿宋_GB2312" w:hAnsi="仿宋_GB2312" w:eastAsia="仿宋_GB2312"/>
          <w:color w:val="000000"/>
          <w:kern w:val="0"/>
          <w:sz w:val="32"/>
          <w:szCs w:val="44"/>
        </w:rPr>
        <w:t>实现了经济社会持续平稳健康发展。</w:t>
      </w:r>
    </w:p>
    <w:p w14:paraId="3EE9E027">
      <w:pPr>
        <w:pStyle w:val="12"/>
        <w:widowControl w:val="0"/>
        <w:shd w:val="clear" w:color="auto" w:fill="FFFFFF"/>
        <w:spacing w:before="0" w:beforeAutospacing="0" w:after="0" w:afterAutospacing="0" w:line="560" w:lineRule="exact"/>
        <w:ind w:firstLine="643" w:firstLineChars="200"/>
        <w:jc w:val="both"/>
        <w:rPr>
          <w:rFonts w:hint="default" w:ascii="楷体_GB2312" w:hAnsi="楷体_GB2312" w:eastAsia="楷体_GB2312"/>
          <w:bCs/>
          <w:kern w:val="2"/>
          <w:sz w:val="32"/>
          <w:szCs w:val="44"/>
        </w:rPr>
      </w:pPr>
      <w:r>
        <w:rPr>
          <w:rFonts w:ascii="楷体_GB2312" w:hAnsi="楷体_GB2312" w:eastAsia="楷体_GB2312"/>
          <w:b/>
          <w:kern w:val="2"/>
          <w:sz w:val="32"/>
          <w:szCs w:val="44"/>
        </w:rPr>
        <w:t>——一般公共预算完成情况</w:t>
      </w:r>
    </w:p>
    <w:p w14:paraId="6EE2990E">
      <w:pPr>
        <w:spacing w:line="560" w:lineRule="exact"/>
        <w:ind w:firstLine="640" w:firstLineChars="200"/>
        <w:rPr>
          <w:rFonts w:ascii="仿宋_GB2312" w:hAnsi="仿宋_GB2312" w:eastAsia="仿宋_GB2312"/>
          <w:sz w:val="32"/>
          <w:szCs w:val="44"/>
        </w:rPr>
      </w:pPr>
      <w:r>
        <w:rPr>
          <w:rFonts w:hint="eastAsia" w:ascii="仿宋_GB2312" w:hAnsi="仿宋_GB2312" w:eastAsia="仿宋_GB2312"/>
          <w:sz w:val="32"/>
          <w:szCs w:val="44"/>
        </w:rPr>
        <w:t>全区一般公共预算收入完成34.32亿元，占年初预算的100.02%，比上年增长（以下简称增长）10.03%，其中税收收入完成23.61亿元，占年初预算的100.03%，增长10.65%。当年收入加上级补助等，全年支出预算调整为45.26亿元，全年实际支出42.78亿元，占调整预算的95%。区本级一般公共预算收入完成12.19亿元，占年初预算的93.2%，增长2.5%。根据现行上、下级财政体制，全年支出预算调整为33.28亿元，实际支出32.07亿元，占调整预算的96.4%。</w:t>
      </w:r>
    </w:p>
    <w:p w14:paraId="4A25400C">
      <w:pPr>
        <w:spacing w:line="560" w:lineRule="exact"/>
        <w:ind w:firstLine="640" w:firstLineChars="200"/>
        <w:rPr>
          <w:rFonts w:ascii="仿宋_GB2312" w:hAnsi="仿宋_GB2312" w:eastAsia="仿宋_GB2312"/>
          <w:sz w:val="32"/>
          <w:szCs w:val="44"/>
        </w:rPr>
      </w:pPr>
      <w:r>
        <w:rPr>
          <w:rFonts w:hint="eastAsia" w:ascii="仿宋_GB2312" w:hAnsi="仿宋_GB2312" w:eastAsia="仿宋_GB2312"/>
          <w:sz w:val="32"/>
          <w:szCs w:val="44"/>
        </w:rPr>
        <w:t>全区预算平衡情况，2019年全区一般公共预算收入加上级补助14.42亿元，一般债券收入5100万元，调入资金及调入预算稳定调节基金4.85亿元等，全区总收入54.26亿元。当年支出42.78亿元，上解上级7.3亿元，债务还本支出465万元，全年收支相抵，按规定补充预算稳定调节基金4.09亿元后，结转430万元。</w:t>
      </w:r>
    </w:p>
    <w:p w14:paraId="5FFFCEAD">
      <w:pPr>
        <w:pStyle w:val="12"/>
        <w:widowControl w:val="0"/>
        <w:shd w:val="clear" w:color="auto" w:fill="FFFFFF"/>
        <w:spacing w:before="0" w:beforeAutospacing="0" w:after="0" w:afterAutospacing="0" w:line="560" w:lineRule="exact"/>
        <w:ind w:firstLine="643" w:firstLineChars="200"/>
        <w:jc w:val="both"/>
        <w:rPr>
          <w:rFonts w:hint="default" w:ascii="楷体_GB2312" w:hAnsi="楷体_GB2312" w:eastAsia="楷体_GB2312"/>
          <w:b/>
          <w:kern w:val="2"/>
          <w:sz w:val="32"/>
          <w:szCs w:val="44"/>
        </w:rPr>
      </w:pPr>
      <w:r>
        <w:rPr>
          <w:rFonts w:ascii="楷体_GB2312" w:hAnsi="楷体_GB2312" w:eastAsia="楷体_GB2312"/>
          <w:b/>
          <w:kern w:val="2"/>
          <w:sz w:val="32"/>
          <w:szCs w:val="44"/>
        </w:rPr>
        <w:t>——政府性基金预算完成情况</w:t>
      </w:r>
    </w:p>
    <w:p w14:paraId="328ED471">
      <w:pPr>
        <w:spacing w:line="560" w:lineRule="exact"/>
        <w:ind w:firstLine="640" w:firstLineChars="200"/>
        <w:rPr>
          <w:rFonts w:ascii="仿宋_GB2312" w:hAnsi="仿宋_GB2312" w:eastAsia="仿宋_GB2312"/>
          <w:sz w:val="32"/>
          <w:szCs w:val="44"/>
        </w:rPr>
      </w:pPr>
      <w:r>
        <w:rPr>
          <w:rFonts w:hint="eastAsia" w:ascii="仿宋_GB2312" w:hAnsi="仿宋_GB2312" w:eastAsia="仿宋_GB2312"/>
          <w:sz w:val="32"/>
          <w:szCs w:val="44"/>
        </w:rPr>
        <w:t>全区政府性基金收入完成17.29亿元，占调整预算的113.1%，增长55.9%，加上级转移支付、专项债券及上年结转等3亿元，收入总计20.29亿元。全年支出完成15.75亿元，占调整预算的97.1%（主要支出内容为：征地拆迁补偿支出、土地出让业务费、提取各项基金及城建支出11.81亿元；污水处理费、基础设施配套费及其他支出等3.94亿元），调入一般公共预算2.85亿元后，结转1.68亿元。</w:t>
      </w:r>
    </w:p>
    <w:p w14:paraId="3FDE9057">
      <w:pPr>
        <w:pStyle w:val="12"/>
        <w:widowControl w:val="0"/>
        <w:shd w:val="clear" w:color="auto" w:fill="FFFFFF"/>
        <w:spacing w:before="0" w:beforeAutospacing="0" w:after="0" w:afterAutospacing="0" w:line="560" w:lineRule="exact"/>
        <w:ind w:firstLine="643" w:firstLineChars="200"/>
        <w:jc w:val="both"/>
        <w:rPr>
          <w:rFonts w:hint="default" w:ascii="楷体_GB2312" w:hAnsi="楷体_GB2312" w:eastAsia="楷体_GB2312"/>
          <w:bCs/>
          <w:kern w:val="2"/>
          <w:sz w:val="32"/>
          <w:szCs w:val="44"/>
        </w:rPr>
      </w:pPr>
      <w:r>
        <w:rPr>
          <w:rFonts w:ascii="楷体_GB2312" w:hAnsi="楷体_GB2312" w:eastAsia="楷体_GB2312"/>
          <w:b/>
          <w:kern w:val="2"/>
          <w:sz w:val="32"/>
          <w:szCs w:val="44"/>
        </w:rPr>
        <w:t>——社会保险基金预算完成情况</w:t>
      </w:r>
    </w:p>
    <w:p w14:paraId="22127741">
      <w:pPr>
        <w:spacing w:line="560" w:lineRule="exact"/>
        <w:ind w:firstLine="640"/>
        <w:rPr>
          <w:rFonts w:ascii="仿宋_GB2312" w:hAnsi="仿宋_GB2312" w:eastAsia="仿宋_GB2312"/>
          <w:sz w:val="32"/>
          <w:szCs w:val="44"/>
        </w:rPr>
      </w:pPr>
      <w:r>
        <w:rPr>
          <w:rFonts w:hint="eastAsia" w:ascii="仿宋_GB2312" w:hAnsi="仿宋_GB2312" w:eastAsia="仿宋_GB2312"/>
          <w:sz w:val="32"/>
          <w:szCs w:val="44"/>
        </w:rPr>
        <w:t>全区社会保险基金预算收入完成7.31亿元，占调整预算的116.7%。支出完成5.44亿元，占调整预算的99.7%。</w:t>
      </w:r>
    </w:p>
    <w:p w14:paraId="2BF902EE">
      <w:pPr>
        <w:spacing w:line="560" w:lineRule="exact"/>
        <w:ind w:firstLine="640"/>
        <w:rPr>
          <w:rFonts w:ascii="楷体_GB2312" w:hAnsi="楷体_GB2312" w:eastAsia="楷体_GB2312"/>
          <w:b/>
          <w:sz w:val="32"/>
          <w:szCs w:val="44"/>
        </w:rPr>
      </w:pPr>
      <w:r>
        <w:rPr>
          <w:rFonts w:hint="eastAsia" w:ascii="楷体_GB2312" w:hAnsi="楷体_GB2312" w:eastAsia="楷体_GB2312"/>
          <w:b/>
          <w:sz w:val="32"/>
          <w:szCs w:val="44"/>
        </w:rPr>
        <w:t>——</w:t>
      </w:r>
      <w:r>
        <w:rPr>
          <w:rFonts w:hint="eastAsia" w:ascii="楷体_GB2312" w:hAnsi="楷体_GB2312" w:eastAsia="楷体_GB2312" w:cs="黑体"/>
          <w:b/>
          <w:sz w:val="32"/>
          <w:szCs w:val="44"/>
        </w:rPr>
        <w:t>国有资本经营预算</w:t>
      </w:r>
      <w:r>
        <w:rPr>
          <w:rFonts w:hint="eastAsia" w:ascii="楷体_GB2312" w:hAnsi="楷体_GB2312" w:eastAsia="楷体_GB2312"/>
          <w:b/>
          <w:sz w:val="32"/>
          <w:szCs w:val="44"/>
        </w:rPr>
        <w:t>完成情况</w:t>
      </w:r>
    </w:p>
    <w:p w14:paraId="29533F6B">
      <w:pPr>
        <w:spacing w:line="560" w:lineRule="exact"/>
        <w:ind w:firstLine="640"/>
        <w:rPr>
          <w:rFonts w:ascii="楷体_GB2312" w:hAnsi="楷体_GB2312" w:eastAsia="楷体_GB2312"/>
          <w:b/>
          <w:sz w:val="32"/>
          <w:szCs w:val="44"/>
        </w:rPr>
      </w:pPr>
      <w:r>
        <w:rPr>
          <w:rFonts w:hint="eastAsia" w:ascii="仿宋_GB2312" w:hAnsi="仿宋_GB2312" w:eastAsia="仿宋_GB2312" w:cs="仿宋_GB2312"/>
          <w:bCs/>
          <w:sz w:val="32"/>
          <w:szCs w:val="44"/>
        </w:rPr>
        <w:t>全区国有资本经营预算收入完成6.5亿元，占调整预算的111.5%。支出完成5.83亿元，</w:t>
      </w:r>
      <w:r>
        <w:rPr>
          <w:rFonts w:hint="eastAsia" w:ascii="仿宋_GB2312" w:hAnsi="仿宋_GB2312" w:eastAsia="仿宋_GB2312"/>
          <w:sz w:val="32"/>
          <w:szCs w:val="44"/>
        </w:rPr>
        <w:t>占调整预算的100%，收支相抵，结转6700万元。</w:t>
      </w:r>
    </w:p>
    <w:p w14:paraId="3F7AB733">
      <w:pPr>
        <w:spacing w:line="560" w:lineRule="exact"/>
        <w:ind w:firstLine="640"/>
        <w:rPr>
          <w:rFonts w:ascii="楷体_GB2312" w:hAnsi="楷体_GB2312" w:eastAsia="楷体_GB2312" w:cs="黑体"/>
          <w:b/>
          <w:sz w:val="32"/>
          <w:szCs w:val="44"/>
        </w:rPr>
      </w:pPr>
      <w:r>
        <w:rPr>
          <w:rFonts w:hint="eastAsia" w:ascii="楷体_GB2312" w:hAnsi="楷体_GB2312" w:eastAsia="楷体_GB2312" w:cs="黑体"/>
          <w:b/>
          <w:sz w:val="32"/>
          <w:szCs w:val="44"/>
        </w:rPr>
        <w:t>——地方政府债券使用情况</w:t>
      </w:r>
    </w:p>
    <w:p w14:paraId="63B06C8B">
      <w:pPr>
        <w:spacing w:line="560" w:lineRule="exact"/>
        <w:ind w:firstLine="640" w:firstLineChars="200"/>
        <w:rPr>
          <w:rFonts w:ascii="仿宋_GB2312" w:hAnsi="宋体" w:eastAsia="仿宋_GB2312" w:cs="宋体"/>
          <w:sz w:val="32"/>
          <w:szCs w:val="44"/>
        </w:rPr>
      </w:pPr>
      <w:r>
        <w:rPr>
          <w:rFonts w:hint="eastAsia" w:ascii="仿宋_GB2312" w:hAnsi="宋体" w:eastAsia="仿宋_GB2312" w:cs="宋体"/>
          <w:sz w:val="32"/>
          <w:szCs w:val="44"/>
        </w:rPr>
        <w:t>2019年省代发我区地方政府债券3.04亿元。其中，一般债券5100万元，主要用于城乡道路、消防大队迁建、垃圾填埋场、石津渠围栏等项目建设；专项债券2.48亿元，主要用于城区集中供热、便民市场建设、道路改造及绿化提升、农村饮水、垃圾填埋场改造等项目；置换债券500万元，用于置换市政工程建设债券项目。</w:t>
      </w:r>
    </w:p>
    <w:p w14:paraId="5C9D1397">
      <w:pPr>
        <w:spacing w:line="560" w:lineRule="exact"/>
        <w:ind w:firstLine="640" w:firstLineChars="200"/>
        <w:rPr>
          <w:rFonts w:ascii="仿宋_GB2312" w:hAnsi="仿宋_GB2312" w:eastAsia="仿宋_GB2312"/>
          <w:sz w:val="32"/>
          <w:szCs w:val="44"/>
        </w:rPr>
      </w:pPr>
      <w:r>
        <w:rPr>
          <w:rFonts w:hint="eastAsia" w:ascii="仿宋_GB2312" w:hAnsi="宋体" w:eastAsia="仿宋_GB2312" w:cs="宋体"/>
          <w:sz w:val="32"/>
          <w:szCs w:val="44"/>
        </w:rPr>
        <w:t>需要说明的是，上述预算执行情况均为快报数，</w:t>
      </w:r>
      <w:r>
        <w:rPr>
          <w:rFonts w:hint="eastAsia" w:ascii="仿宋_GB2312" w:hAnsi="仿宋_GB2312" w:eastAsia="仿宋_GB2312"/>
          <w:sz w:val="32"/>
          <w:szCs w:val="44"/>
        </w:rPr>
        <w:t>待上级批复决算事项后，再向区人大常委会报告。</w:t>
      </w:r>
    </w:p>
    <w:p w14:paraId="5E6A7665">
      <w:pPr>
        <w:spacing w:line="560" w:lineRule="exact"/>
        <w:ind w:firstLine="640" w:firstLineChars="200"/>
        <w:rPr>
          <w:rFonts w:ascii="仿宋_GB2312" w:hAnsi="宋体" w:eastAsia="仿宋_GB2312" w:cs="宋体"/>
          <w:sz w:val="32"/>
          <w:szCs w:val="44"/>
        </w:rPr>
      </w:pPr>
      <w:r>
        <w:rPr>
          <w:rFonts w:hint="eastAsia" w:ascii="仿宋_GB2312" w:hAnsi="宋体" w:eastAsia="仿宋_GB2312" w:cs="宋体"/>
          <w:sz w:val="32"/>
          <w:szCs w:val="44"/>
        </w:rPr>
        <w:t>2019年，我们认真执行区第二届人民代表大会第三次会议有关决议和区人大常委会要求，着力加快财政发展,</w:t>
      </w:r>
      <w:r>
        <w:rPr>
          <w:rFonts w:ascii="仿宋_GB2312" w:hAnsi="宋体" w:eastAsia="仿宋_GB2312" w:cs="宋体"/>
          <w:sz w:val="32"/>
          <w:szCs w:val="44"/>
        </w:rPr>
        <w:t>保障改善民生,促进结构调整,深化财税改革</w:t>
      </w:r>
      <w:r>
        <w:rPr>
          <w:rFonts w:hint="eastAsia" w:ascii="仿宋_GB2312" w:hAnsi="宋体" w:eastAsia="仿宋_GB2312" w:cs="宋体"/>
          <w:sz w:val="32"/>
          <w:szCs w:val="44"/>
        </w:rPr>
        <w:t>,加强预算执行管理,</w:t>
      </w:r>
      <w:r>
        <w:rPr>
          <w:rFonts w:ascii="仿宋_GB2312" w:hAnsi="宋体" w:eastAsia="仿宋_GB2312" w:cs="宋体"/>
          <w:sz w:val="32"/>
          <w:szCs w:val="44"/>
        </w:rPr>
        <w:t>有力支持了全</w:t>
      </w:r>
      <w:r>
        <w:rPr>
          <w:rFonts w:hint="eastAsia" w:ascii="仿宋_GB2312" w:hAnsi="宋体" w:eastAsia="仿宋_GB2312" w:cs="宋体"/>
          <w:sz w:val="32"/>
          <w:szCs w:val="44"/>
        </w:rPr>
        <w:t>区</w:t>
      </w:r>
      <w:r>
        <w:rPr>
          <w:rFonts w:ascii="仿宋_GB2312" w:hAnsi="宋体" w:eastAsia="仿宋_GB2312" w:cs="宋体"/>
          <w:sz w:val="32"/>
          <w:szCs w:val="44"/>
        </w:rPr>
        <w:t>经济</w:t>
      </w:r>
      <w:r>
        <w:rPr>
          <w:rFonts w:hint="eastAsia" w:ascii="仿宋_GB2312" w:hAnsi="宋体" w:eastAsia="仿宋_GB2312" w:cs="宋体"/>
          <w:sz w:val="32"/>
          <w:szCs w:val="44"/>
        </w:rPr>
        <w:t>社会持续健康</w:t>
      </w:r>
      <w:r>
        <w:rPr>
          <w:rFonts w:ascii="仿宋_GB2312" w:hAnsi="宋体" w:eastAsia="仿宋_GB2312" w:cs="宋体"/>
          <w:sz w:val="32"/>
          <w:szCs w:val="44"/>
        </w:rPr>
        <w:t xml:space="preserve">发展。 </w:t>
      </w:r>
    </w:p>
    <w:p w14:paraId="24C5F4A9">
      <w:pPr>
        <w:widowControl/>
        <w:shd w:val="clear" w:color="auto" w:fill="FFFFFF"/>
        <w:spacing w:line="560" w:lineRule="exact"/>
        <w:ind w:firstLine="643"/>
        <w:rPr>
          <w:rFonts w:ascii="楷体_GB2312" w:hAnsi="楷体_GB2312" w:eastAsia="楷体_GB2312" w:cs="楷体_GB2312"/>
          <w:color w:val="000000"/>
          <w:sz w:val="32"/>
          <w:szCs w:val="44"/>
        </w:rPr>
      </w:pPr>
      <w:r>
        <w:rPr>
          <w:rFonts w:hint="eastAsia" w:ascii="楷体_GB2312" w:hAnsi="楷体_GB2312" w:eastAsia="楷体_GB2312" w:cs="楷体_GB2312"/>
          <w:sz w:val="32"/>
          <w:szCs w:val="44"/>
        </w:rPr>
        <w:t>（一）</w:t>
      </w:r>
      <w:r>
        <w:rPr>
          <w:rFonts w:hint="eastAsia" w:ascii="楷体" w:hAnsi="楷体" w:eastAsia="楷体" w:cs="楷体"/>
          <w:sz w:val="32"/>
          <w:szCs w:val="44"/>
        </w:rPr>
        <w:t>锲而不舍</w:t>
      </w:r>
      <w:r>
        <w:rPr>
          <w:rFonts w:hint="eastAsia" w:ascii="楷体_GB2312" w:hAnsi="楷体_GB2312" w:eastAsia="楷体_GB2312" w:cs="楷体_GB2312"/>
          <w:kern w:val="0"/>
          <w:sz w:val="32"/>
          <w:szCs w:val="44"/>
          <w:shd w:val="clear" w:color="auto" w:fill="FFFFFF"/>
          <w:lang w:bidi="ar"/>
        </w:rPr>
        <w:t>抓收入</w:t>
      </w:r>
      <w:r>
        <w:rPr>
          <w:rFonts w:hint="eastAsia" w:ascii="楷体_GB2312" w:hAnsi="楷体_GB2312" w:eastAsia="楷体_GB2312" w:cs="楷体_GB2312"/>
          <w:color w:val="000000"/>
          <w:kern w:val="0"/>
          <w:sz w:val="32"/>
          <w:szCs w:val="44"/>
          <w:shd w:val="clear" w:color="auto" w:fill="FFFFFF"/>
          <w:lang w:bidi="ar"/>
        </w:rPr>
        <w:t>，收入“量”“质”实现大步跨越</w:t>
      </w:r>
    </w:p>
    <w:p w14:paraId="203CBE85">
      <w:pPr>
        <w:pStyle w:val="6"/>
        <w:widowControl/>
        <w:spacing w:before="0" w:beforeAutospacing="0" w:after="0" w:afterAutospacing="0" w:line="560" w:lineRule="exact"/>
        <w:ind w:firstLine="640" w:firstLineChars="200"/>
        <w:rPr>
          <w:rFonts w:ascii="仿宋_GB2312" w:hAnsi="宋体" w:eastAsia="仿宋_GB2312" w:cs="宋体"/>
          <w:kern w:val="2"/>
          <w:sz w:val="32"/>
          <w:szCs w:val="44"/>
        </w:rPr>
      </w:pPr>
      <w:r>
        <w:rPr>
          <w:rFonts w:hint="eastAsia" w:ascii="仿宋_GB2312" w:hAnsi="宋体" w:eastAsia="仿宋_GB2312" w:cs="宋体"/>
          <w:kern w:val="2"/>
          <w:sz w:val="32"/>
          <w:szCs w:val="44"/>
        </w:rPr>
        <w:t>2012年全区全部财政收入首跨百亿大关，次年丘头镇被循环化工园区托管，总收入下降1/4以上。近年来，全区上下齐心协力、众志成城、埋头苦干，以招商引资作为开源主抓手，积极培植财源蓄力，促进财政收入持续增长。时隔六年后的</w:t>
      </w:r>
      <w:r>
        <w:rPr>
          <w:rFonts w:ascii="仿宋_GB2312" w:hAnsi="宋体" w:eastAsia="仿宋_GB2312" w:cs="宋体"/>
          <w:kern w:val="2"/>
          <w:sz w:val="32"/>
          <w:szCs w:val="44"/>
        </w:rPr>
        <w:t>201</w:t>
      </w:r>
      <w:r>
        <w:rPr>
          <w:rFonts w:hint="eastAsia" w:ascii="仿宋_GB2312" w:hAnsi="宋体" w:eastAsia="仿宋_GB2312" w:cs="宋体"/>
          <w:kern w:val="2"/>
          <w:sz w:val="32"/>
          <w:szCs w:val="44"/>
        </w:rPr>
        <w:t>9</w:t>
      </w:r>
      <w:r>
        <w:rPr>
          <w:rFonts w:ascii="仿宋_GB2312" w:hAnsi="宋体" w:eastAsia="仿宋_GB2312" w:cs="宋体"/>
          <w:kern w:val="2"/>
          <w:sz w:val="32"/>
          <w:szCs w:val="44"/>
        </w:rPr>
        <w:t>年，</w:t>
      </w:r>
      <w:r>
        <w:rPr>
          <w:rFonts w:hint="eastAsia" w:ascii="仿宋_GB2312" w:hAnsi="宋体" w:eastAsia="仿宋_GB2312" w:cs="宋体"/>
          <w:kern w:val="2"/>
          <w:sz w:val="32"/>
          <w:szCs w:val="44"/>
        </w:rPr>
        <w:t>全部财政收入再次突破百亿大关，完成101.23亿元，同比增长16.91%。实现量增的同时质也发生了可喜变化，一般公共预算收入中税收占比提高了0.38个百分点，</w:t>
      </w:r>
      <w:r>
        <w:rPr>
          <w:rFonts w:ascii="仿宋_GB2312" w:hAnsi="宋体" w:eastAsia="仿宋_GB2312" w:cs="宋体"/>
          <w:kern w:val="2"/>
          <w:sz w:val="32"/>
          <w:szCs w:val="44"/>
        </w:rPr>
        <w:t>扭转</w:t>
      </w:r>
      <w:r>
        <w:rPr>
          <w:rFonts w:hint="eastAsia" w:ascii="仿宋_GB2312" w:hAnsi="宋体" w:eastAsia="仿宋_GB2312" w:cs="宋体"/>
          <w:kern w:val="2"/>
          <w:sz w:val="32"/>
          <w:szCs w:val="44"/>
        </w:rPr>
        <w:t>了税收占比负增长</w:t>
      </w:r>
      <w:r>
        <w:rPr>
          <w:rFonts w:ascii="仿宋_GB2312" w:hAnsi="宋体" w:eastAsia="仿宋_GB2312" w:cs="宋体"/>
          <w:kern w:val="2"/>
          <w:sz w:val="32"/>
          <w:szCs w:val="44"/>
        </w:rPr>
        <w:t>的局面</w:t>
      </w:r>
      <w:r>
        <w:rPr>
          <w:rFonts w:hint="eastAsia" w:ascii="仿宋_GB2312" w:hAnsi="宋体" w:eastAsia="仿宋_GB2312" w:cs="宋体"/>
          <w:kern w:val="2"/>
          <w:sz w:val="32"/>
          <w:szCs w:val="44"/>
        </w:rPr>
        <w:t>，综合实力进一步增强</w:t>
      </w:r>
      <w:r>
        <w:rPr>
          <w:rFonts w:ascii="仿宋_GB2312" w:hAnsi="宋体" w:eastAsia="仿宋_GB2312" w:cs="宋体"/>
          <w:kern w:val="2"/>
          <w:sz w:val="32"/>
          <w:szCs w:val="44"/>
        </w:rPr>
        <w:t>。</w:t>
      </w:r>
    </w:p>
    <w:p w14:paraId="5D4F5956">
      <w:pPr>
        <w:spacing w:line="560" w:lineRule="exact"/>
        <w:ind w:firstLine="640" w:firstLineChars="200"/>
        <w:rPr>
          <w:rFonts w:ascii="楷体_GB2312" w:hAnsi="楷体_GB2312" w:eastAsia="楷体_GB2312" w:cs="黑体"/>
          <w:sz w:val="32"/>
          <w:szCs w:val="44"/>
        </w:rPr>
      </w:pPr>
      <w:r>
        <w:rPr>
          <w:rFonts w:hint="eastAsia" w:ascii="楷体_GB2312" w:hAnsi="楷体_GB2312" w:eastAsia="楷体_GB2312" w:cs="黑体"/>
          <w:sz w:val="32"/>
          <w:szCs w:val="44"/>
        </w:rPr>
        <w:t>（二）狠抓落实保发展，积极财政政策全面落实</w:t>
      </w:r>
    </w:p>
    <w:p w14:paraId="58549A9D">
      <w:pPr>
        <w:spacing w:line="560" w:lineRule="exact"/>
        <w:ind w:firstLine="640" w:firstLineChars="200"/>
        <w:rPr>
          <w:rFonts w:ascii="楷体_GB2312" w:hAnsi="楷体_GB2312" w:eastAsia="楷体_GB2312" w:cs="黑体"/>
          <w:sz w:val="32"/>
          <w:szCs w:val="44"/>
        </w:rPr>
      </w:pPr>
      <w:r>
        <w:rPr>
          <w:rFonts w:hint="eastAsia" w:ascii="仿宋_GB2312" w:eastAsia="仿宋_GB2312"/>
          <w:sz w:val="32"/>
          <w:szCs w:val="44"/>
        </w:rPr>
        <w:t>全区上下高度重视减税降费政策落地、落实，研究印发了《全面落实中央和省市减税降费政策的通知》，建立领导</w:t>
      </w:r>
      <w:r>
        <w:rPr>
          <w:rFonts w:hint="eastAsia" w:ascii="仿宋_GB2312" w:hAnsi="仿宋_GB2312" w:eastAsia="仿宋_GB2312"/>
          <w:color w:val="000000"/>
          <w:sz w:val="32"/>
          <w:szCs w:val="44"/>
        </w:rPr>
        <w:t>小组联席会议、</w:t>
      </w:r>
      <w:r>
        <w:rPr>
          <w:rFonts w:hint="eastAsia" w:ascii="仿宋_GB2312" w:hAnsi="仿宋_GB2312" w:eastAsia="仿宋_GB2312"/>
          <w:sz w:val="32"/>
          <w:szCs w:val="44"/>
        </w:rPr>
        <w:t>信息公开和举报</w:t>
      </w:r>
      <w:r>
        <w:rPr>
          <w:rFonts w:hint="eastAsia" w:ascii="仿宋_GB2312" w:hAnsi="仿宋_GB2312" w:eastAsia="仿宋_GB2312"/>
          <w:color w:val="000000"/>
          <w:sz w:val="32"/>
          <w:szCs w:val="44"/>
        </w:rPr>
        <w:t>等六项制度</w:t>
      </w:r>
      <w:r>
        <w:rPr>
          <w:rFonts w:hint="eastAsia" w:ascii="仿宋_GB2312" w:eastAsia="仿宋_GB2312"/>
          <w:sz w:val="32"/>
          <w:szCs w:val="44"/>
        </w:rPr>
        <w:t>，组织培训，多种形式开展政策宣传。一系列举措的实施，确保该减的减到位、该降的降下来，全区减税降费</w:t>
      </w:r>
      <w:r>
        <w:rPr>
          <w:rFonts w:hint="eastAsia" w:ascii="仿宋_GB2312" w:hAnsi="仿宋" w:eastAsia="仿宋_GB2312"/>
          <w:sz w:val="32"/>
          <w:szCs w:val="44"/>
        </w:rPr>
        <w:t>7.73</w:t>
      </w:r>
      <w:r>
        <w:rPr>
          <w:rFonts w:hint="eastAsia" w:ascii="仿宋_GB2312" w:eastAsia="仿宋_GB2312"/>
          <w:sz w:val="32"/>
          <w:szCs w:val="44"/>
        </w:rPr>
        <w:t>亿元。其中，增值税减免4.35亿元，成为各税种中受惠面和减免额最大的税种；小微企业普惠性减税1.22亿元，惠及2.2万纳税人；个人所得税减税851万元，提高起征点和专项附加扣除，惠及近1.7万纳税人；为1087户企业减免社保缴费3098万元，让企业充分享受实实在在的政策红利。同时，兑现</w:t>
      </w:r>
      <w:r>
        <w:rPr>
          <w:rFonts w:hint="eastAsia" w:ascii="仿宋_GB2312" w:hAnsi="仿宋" w:eastAsia="仿宋_GB2312"/>
          <w:sz w:val="32"/>
          <w:szCs w:val="44"/>
        </w:rPr>
        <w:t>企业上市、科技创新等奖补资金710万元，努力创造宽松的营商环境，激发市场主体活力。</w:t>
      </w:r>
    </w:p>
    <w:p w14:paraId="3685B01D">
      <w:pPr>
        <w:numPr>
          <w:ilvl w:val="0"/>
          <w:numId w:val="1"/>
        </w:numPr>
        <w:spacing w:line="560" w:lineRule="exact"/>
        <w:ind w:left="630"/>
        <w:rPr>
          <w:rFonts w:ascii="楷体_GB2312" w:hAnsi="楷体_GB2312" w:eastAsia="楷体_GB2312" w:cs="黑体"/>
          <w:sz w:val="32"/>
          <w:szCs w:val="44"/>
        </w:rPr>
      </w:pPr>
      <w:r>
        <w:rPr>
          <w:rFonts w:hint="eastAsia" w:ascii="楷体_GB2312" w:hAnsi="楷体_GB2312" w:eastAsia="楷体_GB2312" w:cs="黑体"/>
          <w:sz w:val="32"/>
          <w:szCs w:val="44"/>
        </w:rPr>
        <w:t>统筹安排齐保障，为建设小康社会奠定基础</w:t>
      </w:r>
    </w:p>
    <w:p w14:paraId="084856CF">
      <w:pPr>
        <w:widowControl/>
        <w:spacing w:line="560" w:lineRule="exact"/>
        <w:ind w:firstLine="640" w:firstLineChars="200"/>
        <w:rPr>
          <w:rFonts w:ascii="仿宋_GB2312" w:hAnsi="仿宋" w:eastAsia="仿宋_GB2312"/>
          <w:sz w:val="32"/>
          <w:szCs w:val="44"/>
        </w:rPr>
      </w:pPr>
      <w:r>
        <w:rPr>
          <w:rFonts w:hint="eastAsia" w:ascii="仿宋_GB2312" w:eastAsia="仿宋_GB2312"/>
          <w:sz w:val="32"/>
          <w:szCs w:val="44"/>
        </w:rPr>
        <w:t>牢固树立以人民为中心的发展思想，让人民群众充分享受经济高质量发展的成果。全区民生支出34.69亿元，占一般公共预算支出比重达到81.1%。其中，教育支出13.03亿元、社保就业支出6.93亿元、农林水事务支出5.14亿元。做好民生兜底的同时，</w:t>
      </w:r>
      <w:r>
        <w:rPr>
          <w:rFonts w:hint="eastAsia" w:ascii="仿宋_GB2312" w:hAnsi="仿宋" w:eastAsia="仿宋_GB2312"/>
          <w:sz w:val="32"/>
          <w:szCs w:val="44"/>
        </w:rPr>
        <w:t>全力为重点项目建设提供资金支持。全年清理盘活存量资金1.45亿元，保障了燃气具补贴、高标准农田建设等项目支出。</w:t>
      </w:r>
      <w:r>
        <w:rPr>
          <w:rFonts w:hint="eastAsia" w:ascii="仿宋_GB2312" w:eastAsia="仿宋_GB2312"/>
          <w:sz w:val="32"/>
          <w:szCs w:val="44"/>
        </w:rPr>
        <w:t>加大</w:t>
      </w:r>
      <w:r>
        <w:rPr>
          <w:rFonts w:hint="eastAsia" w:ascii="仿宋_GB2312" w:hAnsi="Calibri" w:eastAsia="仿宋_GB2312"/>
          <w:sz w:val="32"/>
          <w:szCs w:val="44"/>
        </w:rPr>
        <w:t>债券申请</w:t>
      </w:r>
      <w:r>
        <w:rPr>
          <w:rFonts w:hint="eastAsia" w:ascii="仿宋_GB2312" w:eastAsia="仿宋_GB2312"/>
          <w:sz w:val="32"/>
          <w:szCs w:val="44"/>
        </w:rPr>
        <w:t>力度</w:t>
      </w:r>
      <w:r>
        <w:rPr>
          <w:rFonts w:hint="eastAsia" w:ascii="仿宋_GB2312" w:hAnsi="Calibri" w:eastAsia="仿宋_GB2312"/>
          <w:sz w:val="32"/>
          <w:szCs w:val="44"/>
        </w:rPr>
        <w:t>，</w:t>
      </w:r>
      <w:r>
        <w:rPr>
          <w:rFonts w:hint="eastAsia" w:ascii="仿宋_GB2312" w:eastAsia="仿宋_GB2312"/>
          <w:sz w:val="32"/>
          <w:szCs w:val="44"/>
        </w:rPr>
        <w:t>全年争</w:t>
      </w:r>
      <w:r>
        <w:rPr>
          <w:rFonts w:hint="eastAsia" w:ascii="仿宋_GB2312" w:eastAsia="仿宋_GB2312"/>
          <w:color w:val="000000"/>
          <w:sz w:val="32"/>
          <w:szCs w:val="44"/>
        </w:rPr>
        <w:t>取专项和一般债券共计2.99亿元，有力保障了</w:t>
      </w:r>
      <w:r>
        <w:rPr>
          <w:rFonts w:hint="eastAsia" w:ascii="仿宋_GB2312" w:eastAsia="仿宋_GB2312"/>
          <w:sz w:val="32"/>
          <w:szCs w:val="44"/>
        </w:rPr>
        <w:t>基础设施改造提升、城区地热供暖等民生项目</w:t>
      </w:r>
      <w:r>
        <w:rPr>
          <w:rFonts w:hint="eastAsia" w:ascii="仿宋_GB2312" w:eastAsia="仿宋_GB2312"/>
          <w:color w:val="000000"/>
          <w:sz w:val="32"/>
          <w:szCs w:val="44"/>
        </w:rPr>
        <w:t>建设资金需求。</w:t>
      </w:r>
      <w:r>
        <w:rPr>
          <w:rFonts w:hint="eastAsia" w:ascii="仿宋_GB2312" w:hAnsi="仿宋" w:eastAsia="仿宋_GB2312"/>
          <w:sz w:val="32"/>
          <w:szCs w:val="44"/>
        </w:rPr>
        <w:t>多方对接投融资，广泛吸引社会资本，2019年建投公司</w:t>
      </w:r>
      <w:r>
        <w:rPr>
          <w:rFonts w:hint="eastAsia" w:ascii="仿宋_GB2312" w:hAnsi="宋体" w:eastAsia="仿宋_GB2312"/>
          <w:sz w:val="32"/>
          <w:szCs w:val="44"/>
        </w:rPr>
        <w:t>新注册成立全资子公司4家，融资到位资金3.35亿元，为水处理中心、住城公司、天意热电等单位提供资金支持4.7亿元</w:t>
      </w:r>
      <w:r>
        <w:rPr>
          <w:rFonts w:hint="eastAsia" w:ascii="仿宋_GB2312" w:hAnsi="仿宋" w:eastAsia="仿宋_GB2312"/>
          <w:sz w:val="32"/>
          <w:szCs w:val="44"/>
        </w:rPr>
        <w:t>。坚持抓好已签约PPP项目动工建设的同时，努力拓宽PPP模式投入领域，2019年在区域水环境提升等公共服务领域继续大力推广PPP模式，既缓解了财政支出压力，又提高了公共服务供给质量和效益。</w:t>
      </w:r>
    </w:p>
    <w:p w14:paraId="087BACDF">
      <w:pPr>
        <w:spacing w:line="560" w:lineRule="exact"/>
        <w:ind w:left="420" w:leftChars="200"/>
        <w:rPr>
          <w:rFonts w:ascii="楷体_GB2312" w:hAnsi="楷体_GB2312" w:eastAsia="楷体_GB2312" w:cs="黑体"/>
          <w:sz w:val="32"/>
          <w:szCs w:val="44"/>
        </w:rPr>
      </w:pPr>
      <w:r>
        <w:rPr>
          <w:rFonts w:hint="eastAsia" w:ascii="楷体_GB2312" w:hAnsi="楷体_GB2312" w:eastAsia="楷体_GB2312" w:cs="黑体"/>
          <w:sz w:val="32"/>
          <w:szCs w:val="44"/>
        </w:rPr>
        <w:t>（四）强化措施准投入，三大攻坚取得关键进展</w:t>
      </w:r>
    </w:p>
    <w:p w14:paraId="1C96DBD1">
      <w:pPr>
        <w:widowControl/>
        <w:spacing w:line="560" w:lineRule="exact"/>
        <w:ind w:firstLine="640" w:firstLineChars="200"/>
        <w:rPr>
          <w:rFonts w:ascii="仿宋_GB2312" w:hAnsi="仿宋" w:eastAsia="仿宋_GB2312"/>
          <w:sz w:val="32"/>
          <w:szCs w:val="44"/>
        </w:rPr>
      </w:pPr>
      <w:r>
        <w:rPr>
          <w:rFonts w:hint="eastAsia" w:ascii="仿宋_GB2312" w:hAnsi="仿宋" w:eastAsia="仿宋_GB2312"/>
          <w:sz w:val="32"/>
          <w:szCs w:val="44"/>
        </w:rPr>
        <w:t>坚决打赢防范化解重大风险攻坚战，把防范化解金融风险作为重中之重。突出抓好政府隐性债务管理，建立健全债务风险预警机制,妥善化解存量债务。全年置换债券500万元，化解各种债务4.31亿元，坚守了不发生系统性风险底线。在抓好经济建设的同时，全力支持环境生态改善，</w:t>
      </w:r>
      <w:r>
        <w:rPr>
          <w:rFonts w:ascii="仿宋_GB2312" w:hAnsi="仿宋" w:eastAsia="仿宋_GB2312"/>
          <w:sz w:val="32"/>
          <w:szCs w:val="44"/>
        </w:rPr>
        <w:t>多渠道筹集资金</w:t>
      </w:r>
      <w:r>
        <w:rPr>
          <w:rFonts w:hint="eastAsia" w:ascii="仿宋_GB2312" w:hAnsi="仿宋" w:eastAsia="仿宋_GB2312"/>
          <w:sz w:val="32"/>
          <w:szCs w:val="44"/>
        </w:rPr>
        <w:t>1.82</w:t>
      </w:r>
      <w:r>
        <w:rPr>
          <w:rFonts w:ascii="仿宋_GB2312" w:hAnsi="仿宋" w:eastAsia="仿宋_GB2312"/>
          <w:sz w:val="32"/>
          <w:szCs w:val="44"/>
        </w:rPr>
        <w:t>亿元,用于“气代煤、电代煤”工程实施,以及</w:t>
      </w:r>
      <w:r>
        <w:rPr>
          <w:rFonts w:hint="eastAsia" w:ascii="仿宋_GB2312" w:hAnsi="仿宋" w:eastAsia="仿宋_GB2312"/>
          <w:sz w:val="32"/>
          <w:szCs w:val="44"/>
        </w:rPr>
        <w:t>锅炉治理、重点行业改造</w:t>
      </w:r>
      <w:r>
        <w:rPr>
          <w:rFonts w:ascii="仿宋_GB2312" w:hAnsi="仿宋" w:eastAsia="仿宋_GB2312"/>
          <w:sz w:val="32"/>
          <w:szCs w:val="44"/>
        </w:rPr>
        <w:t>等</w:t>
      </w:r>
      <w:r>
        <w:rPr>
          <w:rFonts w:hint="eastAsia" w:ascii="仿宋_GB2312" w:hAnsi="仿宋" w:eastAsia="仿宋_GB2312"/>
          <w:sz w:val="32"/>
          <w:szCs w:val="44"/>
        </w:rPr>
        <w:t>，有力促进了全区</w:t>
      </w:r>
      <w:r>
        <w:rPr>
          <w:rFonts w:ascii="仿宋_GB2312" w:hAnsi="仿宋" w:eastAsia="仿宋_GB2312"/>
          <w:sz w:val="32"/>
          <w:szCs w:val="44"/>
        </w:rPr>
        <w:t>生态环境持续改善。</w:t>
      </w:r>
      <w:r>
        <w:rPr>
          <w:rFonts w:hint="eastAsia" w:ascii="仿宋_GB2312" w:hAnsi="仿宋" w:eastAsia="仿宋_GB2312"/>
          <w:sz w:val="32"/>
          <w:szCs w:val="44"/>
        </w:rPr>
        <w:t>我区虽不是脱贫攻坚的主战场，但我们不敢丝毫懈怠，认真落实“四不脱”政策，确保“脱贫不返贫”，全年共拨付财政专项扶贫资金399万元，为128户、306人建档立卡贫困户实现稳定脱贫提供了充足资金保障。</w:t>
      </w:r>
    </w:p>
    <w:p w14:paraId="20742D78">
      <w:pPr>
        <w:widowControl/>
        <w:spacing w:line="560" w:lineRule="exact"/>
        <w:ind w:firstLine="640" w:firstLineChars="200"/>
        <w:rPr>
          <w:rFonts w:ascii="楷体_GB2312" w:hAnsi="楷体_GB2312" w:eastAsia="楷体_GB2312" w:cs="黑体"/>
          <w:sz w:val="32"/>
          <w:szCs w:val="44"/>
        </w:rPr>
      </w:pPr>
      <w:r>
        <w:rPr>
          <w:rFonts w:hint="eastAsia" w:ascii="楷体_GB2312" w:hAnsi="楷体_GB2312" w:eastAsia="楷体_GB2312" w:cs="黑体"/>
          <w:sz w:val="32"/>
          <w:szCs w:val="44"/>
        </w:rPr>
        <w:t>（五）创新机制促改革，财政运行更加规范高效</w:t>
      </w:r>
    </w:p>
    <w:p w14:paraId="0CBB8E7F">
      <w:pPr>
        <w:pStyle w:val="6"/>
        <w:widowControl/>
        <w:spacing w:before="0" w:beforeAutospacing="0" w:after="0" w:afterAutospacing="0" w:line="560" w:lineRule="exact"/>
        <w:ind w:firstLine="640" w:firstLineChars="200"/>
        <w:rPr>
          <w:rFonts w:ascii="仿宋_GB2312" w:hAnsi="宋体" w:eastAsia="仿宋_GB2312"/>
          <w:sz w:val="32"/>
          <w:szCs w:val="44"/>
        </w:rPr>
      </w:pPr>
      <w:r>
        <w:rPr>
          <w:rFonts w:hint="eastAsia" w:ascii="仿宋_GB2312" w:eastAsia="仿宋_GB2312"/>
          <w:sz w:val="32"/>
          <w:szCs w:val="44"/>
        </w:rPr>
        <w:t>强化目标导向和问题导向，在推出新改革举措的同时，更加注重抓落实、见实效，推进财政改革向纵深发展。</w:t>
      </w:r>
      <w:r>
        <w:rPr>
          <w:rFonts w:hint="eastAsia" w:ascii="仿宋_GB2312" w:hAnsi="仿宋" w:eastAsia="仿宋_GB2312"/>
          <w:sz w:val="32"/>
          <w:szCs w:val="44"/>
        </w:rPr>
        <w:t>研究制定了《超收财力预算管理暂行办法》，实行超收贡献限额奖补，充分调动乡镇增收节支积极性。印发了《落实预算绩效管理的实施意见》，</w:t>
      </w:r>
      <w:r>
        <w:rPr>
          <w:rFonts w:hint="eastAsia" w:ascii="仿宋_GB2312" w:eastAsia="仿宋_GB2312"/>
          <w:sz w:val="32"/>
          <w:szCs w:val="44"/>
        </w:rPr>
        <w:t>全面推进预算绩效管理。</w:t>
      </w:r>
      <w:r>
        <w:rPr>
          <w:rFonts w:hint="eastAsia" w:ascii="仿宋_GB2312" w:hAnsi="仿宋" w:eastAsia="仿宋_GB2312"/>
          <w:sz w:val="32"/>
          <w:szCs w:val="44"/>
        </w:rPr>
        <w:t>完善和推广乡镇国库集中支付制度改革，相继</w:t>
      </w:r>
      <w:r>
        <w:rPr>
          <w:rFonts w:hint="eastAsia" w:ascii="仿宋_GB2312" w:hAnsi="仿宋_GB2312" w:eastAsia="仿宋_GB2312" w:cs="仿宋_GB2312"/>
          <w:sz w:val="32"/>
          <w:szCs w:val="44"/>
        </w:rPr>
        <w:t>出台了《扶贫资金支付监控实施细则》和《区级预算单位银行账户管理办法》，进一步加强了对扶贫资金支付监控，</w:t>
      </w:r>
      <w:r>
        <w:rPr>
          <w:rFonts w:hint="eastAsia" w:ascii="仿宋_GB2312" w:hAnsi="宋体" w:eastAsia="仿宋_GB2312"/>
          <w:sz w:val="32"/>
          <w:szCs w:val="44"/>
        </w:rPr>
        <w:t>规范了预算单位银行账户管理</w:t>
      </w:r>
      <w:r>
        <w:rPr>
          <w:rFonts w:hint="eastAsia" w:ascii="仿宋_GB2312" w:hAnsi="仿宋_GB2312" w:eastAsia="仿宋_GB2312" w:cs="仿宋_GB2312"/>
          <w:sz w:val="32"/>
          <w:szCs w:val="44"/>
        </w:rPr>
        <w:t>。</w:t>
      </w:r>
      <w:r>
        <w:rPr>
          <w:rFonts w:hint="eastAsia" w:ascii="仿宋_GB2312" w:eastAsia="仿宋_GB2312"/>
          <w:sz w:val="32"/>
          <w:szCs w:val="44"/>
        </w:rPr>
        <w:t>事业单位公务用车改革圆满完成，公务交通补贴顺利发放</w:t>
      </w:r>
      <w:r>
        <w:rPr>
          <w:rFonts w:hint="eastAsia" w:ascii="仿宋_GB2312" w:hAnsi="宋体" w:eastAsia="仿宋_GB2312"/>
          <w:sz w:val="32"/>
          <w:szCs w:val="44"/>
        </w:rPr>
        <w:t>。改进完善评审操作流程，推行“无纸化办公”“不见面审批”，大大提高了评审效率和质量，全年评审项目365个，评审资金27.35亿元,已完成项目审减率13.57%。加强管理，严格程序，着力营造良好营商环境，全年政府采购项目完成2.4亿元,资金节约率2.7%。</w:t>
      </w:r>
    </w:p>
    <w:p w14:paraId="3BA44FDB">
      <w:pPr>
        <w:pStyle w:val="6"/>
        <w:widowControl/>
        <w:spacing w:before="0" w:beforeAutospacing="0" w:after="0" w:afterAutospacing="0" w:line="560" w:lineRule="exact"/>
        <w:ind w:firstLine="640" w:firstLineChars="200"/>
        <w:rPr>
          <w:rFonts w:ascii="仿宋_GB2312" w:hAnsi="仿宋_GB2312" w:eastAsia="仿宋_GB2312" w:cs="仿宋_GB2312"/>
          <w:kern w:val="2"/>
          <w:sz w:val="32"/>
          <w:szCs w:val="44"/>
        </w:rPr>
      </w:pPr>
      <w:r>
        <w:rPr>
          <w:rFonts w:hint="eastAsia" w:ascii="仿宋_GB2312" w:hAnsi="仿宋_GB2312" w:eastAsia="仿宋_GB2312" w:cs="仿宋_GB2312"/>
          <w:kern w:val="2"/>
          <w:sz w:val="32"/>
          <w:szCs w:val="44"/>
        </w:rPr>
        <w:t>2019年，全区预算执行总体平稳，财政各项工作取得新进展。这些成绩的取得，是区委坚强领导的结果，是区人大依法监督的结果，是区政协大力支持的结果，是全区上下共同努力的结果。在此，我向长期以来关心、支持财政工作的社会各界人士、向对藁城财政工作做出积极贡献的财税战线工作者、向广大纳税人表示衷心的感谢和崇高的敬意！</w:t>
      </w:r>
    </w:p>
    <w:p w14:paraId="3C0A816B">
      <w:pPr>
        <w:pStyle w:val="6"/>
        <w:widowControl/>
        <w:spacing w:before="0" w:beforeAutospacing="0" w:after="0" w:afterAutospacing="0" w:line="560" w:lineRule="exact"/>
        <w:ind w:firstLine="640" w:firstLineChars="200"/>
        <w:rPr>
          <w:rFonts w:ascii="仿宋_GB2312" w:hAnsi="仿宋_GB2312" w:eastAsia="仿宋_GB2312" w:cs="仿宋_GB2312"/>
          <w:kern w:val="2"/>
          <w:sz w:val="32"/>
          <w:szCs w:val="44"/>
        </w:rPr>
      </w:pPr>
      <w:r>
        <w:rPr>
          <w:rFonts w:hint="eastAsia" w:ascii="仿宋_GB2312" w:hAnsi="仿宋_GB2312" w:eastAsia="仿宋_GB2312" w:cs="仿宋_GB2312"/>
          <w:kern w:val="2"/>
          <w:sz w:val="32"/>
          <w:szCs w:val="44"/>
        </w:rPr>
        <w:t xml:space="preserve">肯定成绩的同时，我们也清醒地认识到，当前我区财政工作中仍然面临诸多困难与问题，主要表现在：一是受国家大力度减税降费、财源结构单一、传统产业税源占比过高等内外因素叠加影响，2020年我区财政收入组织“有挑战”；二是机关事业单位养老金缺口、落实民生政策等新增支出刚性增长，2020年我区财政预算收支平衡“有压力”；三是随着老城改造、城市建设不断加快，民生水平不断提高，资金需求日益加大，投融资矛盾日渐突出，融资渠道多样化、投资主体多元化迫在眉睫，投融资工作思路“要创新”；四是面对新的经济形势，财税体制改革不断深化，财政支出绩效等管理水平、财政干部队伍的能力素质“待提升”等等。这些问题，我们将在今后的工作中认真研究并切实加以改进。 </w:t>
      </w:r>
    </w:p>
    <w:p w14:paraId="1911FD51">
      <w:pPr>
        <w:spacing w:line="560" w:lineRule="exact"/>
        <w:rPr>
          <w:rFonts w:ascii="黑体" w:hAnsi="黑体" w:eastAsia="黑体"/>
          <w:sz w:val="32"/>
          <w:szCs w:val="44"/>
        </w:rPr>
      </w:pPr>
      <w:r>
        <w:rPr>
          <w:rFonts w:hint="eastAsia" w:ascii="黑体" w:hAnsi="黑体" w:eastAsia="黑体"/>
          <w:sz w:val="32"/>
          <w:szCs w:val="44"/>
        </w:rPr>
        <w:t xml:space="preserve">    二、2020年财政预算草案</w:t>
      </w:r>
    </w:p>
    <w:p w14:paraId="240F459E">
      <w:pPr>
        <w:spacing w:line="560" w:lineRule="exact"/>
        <w:ind w:firstLine="640" w:firstLineChars="200"/>
        <w:rPr>
          <w:rFonts w:ascii="楷体_GB2312" w:hAnsi="楷体_GB2312" w:eastAsia="楷体_GB2312" w:cs="楷体_GB2312"/>
          <w:sz w:val="32"/>
          <w:szCs w:val="44"/>
        </w:rPr>
      </w:pPr>
      <w:r>
        <w:rPr>
          <w:rFonts w:hint="eastAsia" w:ascii="仿宋_GB2312" w:hAnsi="仿宋_GB2312" w:eastAsia="仿宋_GB2312" w:cs="仿宋_GB2312"/>
          <w:sz w:val="32"/>
          <w:szCs w:val="44"/>
        </w:rPr>
        <w:t>2020年，是全面建成小康社会和“十三五”规划收官之年，做好全年财政工作十分重要</w:t>
      </w:r>
      <w:r>
        <w:rPr>
          <w:rFonts w:hint="eastAsia" w:ascii="仿宋_GB2312" w:hAnsi="仿宋_GB2312" w:eastAsia="仿宋_GB2312"/>
          <w:sz w:val="32"/>
          <w:szCs w:val="44"/>
        </w:rPr>
        <w:t>。根据中央、省、市全面深化改革的总体要求和全区经济社会发展实际，2020年预算编制和财政工作的指导思想是：</w:t>
      </w:r>
      <w:r>
        <w:rPr>
          <w:rFonts w:hint="eastAsia" w:ascii="楷体_GB2312" w:hAnsi="楷体_GB2312" w:eastAsia="楷体_GB2312" w:cs="楷体_GB2312"/>
          <w:b/>
          <w:bCs/>
          <w:sz w:val="32"/>
          <w:szCs w:val="44"/>
        </w:rPr>
        <w:t>以习近平新时代中国特色社会主义思想为指导，全面贯彻党的十九大和十九届二中、三中、四中全会精神，认真落实中央经济工作会议和省委九届十次、市委十届八次、区委二届六次全会精神，紧扣全面建成小康社会目标任务，坚持稳中求进工作总基调，坚持新发展理念，坚持推动高质量发展，优化支出结构，压缩一般性支出，统筹推进稳增长、促改革、调结构、惠民生、防风险、保稳定，着力支持三大攻坚战，着力促进“4+4”现代产业体系和“四种类型经济”，全面推进预算绩效管理改革，确保全面建成小康社会和“十三五”规划圆满收官，为建设新时代经济强区、品质藁城提供坚强财力支撑</w:t>
      </w:r>
      <w:r>
        <w:rPr>
          <w:rFonts w:hint="eastAsia" w:ascii="楷体_GB2312" w:hAnsi="楷体_GB2312" w:eastAsia="楷体_GB2312" w:cs="楷体_GB2312"/>
          <w:sz w:val="32"/>
          <w:szCs w:val="44"/>
        </w:rPr>
        <w:t>。</w:t>
      </w:r>
    </w:p>
    <w:p w14:paraId="573BB68A">
      <w:pPr>
        <w:spacing w:line="560" w:lineRule="exact"/>
        <w:ind w:firstLine="640" w:firstLineChars="200"/>
        <w:rPr>
          <w:rFonts w:ascii="仿宋_GB2312" w:hAnsi="仿宋_GB2312" w:eastAsia="仿宋_GB2312"/>
          <w:sz w:val="32"/>
          <w:szCs w:val="44"/>
        </w:rPr>
      </w:pPr>
      <w:r>
        <w:rPr>
          <w:rFonts w:hint="eastAsia" w:ascii="仿宋_GB2312" w:hAnsi="仿宋_GB2312" w:eastAsia="仿宋_GB2312"/>
          <w:sz w:val="32"/>
          <w:szCs w:val="44"/>
        </w:rPr>
        <w:t>基于以上指导思想，2020年预算草案总体安排情况如下：</w:t>
      </w:r>
    </w:p>
    <w:p w14:paraId="6B4BC478">
      <w:pPr>
        <w:spacing w:line="560" w:lineRule="exact"/>
        <w:ind w:firstLine="640" w:firstLineChars="200"/>
        <w:rPr>
          <w:rFonts w:ascii="楷体_GB2312" w:hAnsi="楷体_GB2312" w:eastAsia="楷体_GB2312" w:cs="黑体"/>
          <w:bCs/>
          <w:sz w:val="32"/>
          <w:szCs w:val="44"/>
        </w:rPr>
      </w:pPr>
      <w:r>
        <w:rPr>
          <w:rFonts w:hint="eastAsia" w:ascii="楷体_GB2312" w:hAnsi="楷体_GB2312" w:eastAsia="楷体_GB2312" w:cs="黑体"/>
          <w:bCs/>
          <w:sz w:val="32"/>
          <w:szCs w:val="44"/>
        </w:rPr>
        <w:t>（一）一般公共预算安排情况</w:t>
      </w:r>
    </w:p>
    <w:p w14:paraId="37B10D77">
      <w:pPr>
        <w:spacing w:line="560" w:lineRule="exact"/>
        <w:ind w:firstLine="643" w:firstLineChars="200"/>
        <w:rPr>
          <w:rFonts w:ascii="仿宋_GB2312" w:hAnsi="仿宋_GB2312" w:eastAsia="仿宋_GB2312"/>
          <w:b/>
          <w:sz w:val="32"/>
          <w:szCs w:val="44"/>
        </w:rPr>
      </w:pPr>
      <w:r>
        <w:rPr>
          <w:rFonts w:hint="eastAsia" w:ascii="仿宋_GB2312" w:hAnsi="仿宋_GB2312" w:eastAsia="仿宋_GB2312"/>
          <w:b/>
          <w:sz w:val="32"/>
          <w:szCs w:val="44"/>
        </w:rPr>
        <w:t>1．全区一般公共预算安排情况</w:t>
      </w:r>
    </w:p>
    <w:p w14:paraId="276CBB36">
      <w:pPr>
        <w:spacing w:line="560" w:lineRule="exact"/>
        <w:ind w:firstLine="640" w:firstLineChars="200"/>
        <w:rPr>
          <w:rFonts w:ascii="仿宋_GB2312" w:hAnsi="仿宋_GB2312" w:eastAsia="仿宋_GB2312"/>
          <w:sz w:val="32"/>
          <w:szCs w:val="44"/>
        </w:rPr>
      </w:pPr>
      <w:r>
        <w:rPr>
          <w:rFonts w:hint="eastAsia" w:ascii="仿宋_GB2312" w:hAnsi="仿宋_GB2312" w:eastAsia="仿宋_GB2312"/>
          <w:sz w:val="32"/>
          <w:szCs w:val="44"/>
        </w:rPr>
        <w:t>2020年，全区一般公共预算收入安排36.72亿元，增长</w:t>
      </w:r>
      <w:bookmarkStart w:id="0" w:name="可比"/>
      <w:bookmarkEnd w:id="0"/>
      <w:r>
        <w:rPr>
          <w:rFonts w:hint="eastAsia" w:ascii="仿宋_GB2312" w:hAnsi="仿宋_GB2312" w:eastAsia="仿宋_GB2312"/>
          <w:sz w:val="32"/>
          <w:szCs w:val="44"/>
        </w:rPr>
        <w:t>7%。加上年结转430万元、上级补助11.39亿元、调入预算稳定调节基金3.45亿元、基金调入1亿元，减上解上级8.06亿元后，全区可用财力44.54亿元。汇总的全区当年一般公共预算支出44.49亿元（不含上年结转项目），增长11.1%。</w:t>
      </w:r>
    </w:p>
    <w:p w14:paraId="422FDEF0">
      <w:pPr>
        <w:spacing w:line="560" w:lineRule="exact"/>
        <w:ind w:firstLine="643" w:firstLineChars="200"/>
        <w:rPr>
          <w:rFonts w:ascii="仿宋_GB2312" w:hAnsi="仿宋_GB2312" w:eastAsia="仿宋_GB2312"/>
          <w:b/>
          <w:sz w:val="32"/>
          <w:szCs w:val="44"/>
        </w:rPr>
      </w:pPr>
      <w:r>
        <w:rPr>
          <w:rFonts w:hint="eastAsia" w:ascii="仿宋_GB2312" w:hAnsi="仿宋_GB2312" w:eastAsia="仿宋_GB2312"/>
          <w:b/>
          <w:sz w:val="32"/>
          <w:szCs w:val="44"/>
        </w:rPr>
        <w:t>2．区本级一般公共预算安排情况</w:t>
      </w:r>
    </w:p>
    <w:p w14:paraId="4CB3825A">
      <w:pPr>
        <w:spacing w:line="560" w:lineRule="exact"/>
        <w:ind w:firstLine="640" w:firstLineChars="200"/>
        <w:rPr>
          <w:rFonts w:ascii="仿宋_GB2312" w:hAnsi="仿宋_GB2312" w:eastAsia="仿宋_GB2312"/>
          <w:sz w:val="32"/>
          <w:szCs w:val="44"/>
          <w:highlight w:val="yellow"/>
        </w:rPr>
      </w:pPr>
      <w:r>
        <w:rPr>
          <w:rFonts w:hint="eastAsia" w:ascii="仿宋_GB2312" w:hAnsi="仿宋_GB2312" w:eastAsia="仿宋_GB2312"/>
          <w:sz w:val="32"/>
          <w:szCs w:val="44"/>
        </w:rPr>
        <w:t>2020年，区本级一般公共预算收入安排12.59亿元，增长3.22%，按照现行财政体制测算，区本级当年可用财力30.95亿元，增长10.3%。</w:t>
      </w:r>
    </w:p>
    <w:p w14:paraId="63E8C183">
      <w:pPr>
        <w:spacing w:line="560" w:lineRule="exact"/>
        <w:ind w:firstLine="640" w:firstLineChars="200"/>
        <w:rPr>
          <w:rFonts w:ascii="仿宋_GB2312" w:hAnsi="仿宋_GB2312" w:eastAsia="仿宋_GB2312"/>
          <w:sz w:val="32"/>
          <w:szCs w:val="44"/>
        </w:rPr>
      </w:pPr>
      <w:r>
        <w:rPr>
          <w:rFonts w:hint="eastAsia" w:ascii="仿宋_GB2312" w:hAnsi="仿宋_GB2312" w:eastAsia="仿宋_GB2312"/>
          <w:sz w:val="32"/>
          <w:szCs w:val="44"/>
        </w:rPr>
        <w:t>按照收支平衡原则，安排一般公共预算支出30.95亿元。其中，基本支出安排8.88亿元（人员经费8.45亿元，日常公用经费4302万元）、项目支出21.27亿元、预备费8000万元。具体项目及金额在政府预算草案文本中详细列示。</w:t>
      </w:r>
    </w:p>
    <w:p w14:paraId="7629BF9D">
      <w:pPr>
        <w:spacing w:line="560" w:lineRule="exact"/>
        <w:ind w:firstLine="640" w:firstLineChars="200"/>
        <w:rPr>
          <w:rFonts w:ascii="仿宋_GB2312" w:hAnsi="仿宋_GB2312" w:eastAsia="仿宋_GB2312"/>
          <w:sz w:val="32"/>
          <w:szCs w:val="44"/>
        </w:rPr>
      </w:pPr>
      <w:r>
        <w:rPr>
          <w:rFonts w:hint="eastAsia" w:ascii="仿宋_GB2312" w:hAnsi="仿宋_GB2312" w:eastAsia="仿宋_GB2312"/>
          <w:sz w:val="32"/>
          <w:szCs w:val="44"/>
        </w:rPr>
        <w:t>需要说明的是，区本级“三公”经费支出安排1027万元，比上年基本持平略有下降。</w:t>
      </w:r>
    </w:p>
    <w:p w14:paraId="227EA0A0">
      <w:pPr>
        <w:spacing w:line="560" w:lineRule="exact"/>
        <w:ind w:firstLine="640" w:firstLineChars="200"/>
        <w:rPr>
          <w:rFonts w:ascii="楷体_GB2312" w:hAnsi="楷体_GB2312" w:eastAsia="楷体_GB2312"/>
          <w:color w:val="000000"/>
          <w:sz w:val="32"/>
          <w:szCs w:val="44"/>
        </w:rPr>
      </w:pPr>
      <w:r>
        <w:rPr>
          <w:rFonts w:hint="eastAsia" w:ascii="楷体_GB2312" w:hAnsi="楷体_GB2312" w:eastAsia="楷体_GB2312" w:cs="黑体"/>
          <w:sz w:val="32"/>
          <w:szCs w:val="44"/>
        </w:rPr>
        <w:t>（二）政府性基金预算安排情况</w:t>
      </w:r>
    </w:p>
    <w:p w14:paraId="7A76D933">
      <w:pPr>
        <w:spacing w:line="560" w:lineRule="exact"/>
        <w:ind w:firstLine="640" w:firstLineChars="200"/>
        <w:rPr>
          <w:rFonts w:ascii="仿宋_GB2312" w:hAnsi="仿宋_GB2312" w:eastAsia="仿宋_GB2312"/>
          <w:color w:val="FF0000"/>
          <w:sz w:val="32"/>
          <w:szCs w:val="44"/>
        </w:rPr>
      </w:pPr>
      <w:r>
        <w:rPr>
          <w:rFonts w:hint="eastAsia" w:ascii="仿宋_GB2312" w:hAnsi="仿宋_GB2312" w:eastAsia="仿宋_GB2312"/>
          <w:sz w:val="32"/>
          <w:szCs w:val="44"/>
        </w:rPr>
        <w:t>2020年，全区政府性基金收入安排26.19亿元，增长51.5%。其中，土地出让总收入24.82亿元，污水处理费、基础设施配套费、彩票公益金三项基金收入1.37亿元。加上年结转1.68亿元，专项债券收入1.9亿元，上级提前下达44万元，收入总计29.78亿元。</w:t>
      </w:r>
    </w:p>
    <w:p w14:paraId="76CE8A4A">
      <w:pPr>
        <w:spacing w:line="560" w:lineRule="exact"/>
        <w:ind w:firstLine="640" w:firstLineChars="200"/>
        <w:rPr>
          <w:rFonts w:ascii="仿宋_GB2312" w:hAnsi="仿宋_GB2312" w:eastAsia="仿宋_GB2312"/>
          <w:sz w:val="32"/>
          <w:szCs w:val="44"/>
        </w:rPr>
      </w:pPr>
      <w:r>
        <w:rPr>
          <w:rFonts w:hint="eastAsia" w:ascii="仿宋_GB2312" w:hAnsi="仿宋_GB2312" w:eastAsia="仿宋_GB2312"/>
          <w:sz w:val="32"/>
          <w:szCs w:val="44"/>
        </w:rPr>
        <w:t>全区政府性基金调出到一般公共预算1亿元，上解石家庄土地出让收入3亿元后，当年支出安排25.78亿元，比上年预算增长47.6%。其中，征地拆迁补偿支出、土地出让业务费、提取各项基金及城建支出21.72亿元；污水处理费、基础设施配套费、彩票公益金及其他政府性基金支出4.06亿元，支出总计29.78亿元。</w:t>
      </w:r>
    </w:p>
    <w:p w14:paraId="25A6D0A9">
      <w:pPr>
        <w:spacing w:line="560" w:lineRule="exact"/>
        <w:ind w:firstLine="640" w:firstLineChars="200"/>
        <w:rPr>
          <w:rFonts w:ascii="仿宋_GB2312" w:hAnsi="仿宋_GB2312" w:eastAsia="仿宋_GB2312"/>
          <w:sz w:val="32"/>
          <w:szCs w:val="44"/>
        </w:rPr>
      </w:pPr>
      <w:r>
        <w:rPr>
          <w:rFonts w:hint="eastAsia" w:ascii="仿宋_GB2312" w:hAnsi="仿宋_GB2312" w:eastAsia="仿宋_GB2312"/>
          <w:sz w:val="32"/>
          <w:szCs w:val="44"/>
        </w:rPr>
        <w:t>政府性基金预算的安排原则是以收定支，如果执行中出现大的变化，预算将作相应调整。</w:t>
      </w:r>
    </w:p>
    <w:p w14:paraId="4EE72055">
      <w:pPr>
        <w:spacing w:line="560" w:lineRule="exact"/>
        <w:ind w:firstLine="640" w:firstLineChars="200"/>
        <w:rPr>
          <w:rFonts w:ascii="楷体_GB2312" w:hAnsi="楷体_GB2312" w:eastAsia="楷体_GB2312" w:cs="黑体"/>
          <w:sz w:val="32"/>
          <w:szCs w:val="44"/>
        </w:rPr>
      </w:pPr>
      <w:r>
        <w:rPr>
          <w:rFonts w:hint="eastAsia" w:ascii="楷体_GB2312" w:hAnsi="楷体_GB2312" w:eastAsia="楷体_GB2312" w:cs="黑体"/>
          <w:sz w:val="32"/>
          <w:szCs w:val="44"/>
        </w:rPr>
        <w:t>（三）社会保险基金预算安排情况</w:t>
      </w:r>
    </w:p>
    <w:p w14:paraId="3F63ADED">
      <w:pPr>
        <w:spacing w:line="560" w:lineRule="exact"/>
        <w:ind w:firstLine="640" w:firstLineChars="200"/>
        <w:rPr>
          <w:rFonts w:ascii="仿宋_GB2312" w:hAnsi="仿宋_GB2312" w:eastAsia="仿宋_GB2312"/>
          <w:sz w:val="32"/>
          <w:szCs w:val="44"/>
        </w:rPr>
      </w:pPr>
      <w:r>
        <w:rPr>
          <w:rFonts w:hint="eastAsia" w:ascii="仿宋_GB2312" w:hAnsi="仿宋_GB2312" w:eastAsia="仿宋_GB2312"/>
          <w:sz w:val="32"/>
          <w:szCs w:val="44"/>
        </w:rPr>
        <w:t>全区社会保险基金预算收入安排7.08亿元。其中，城乡居民基本养老保险基金收入3.32亿元，机关事业单位养老保险基金收入3.76亿元。</w:t>
      </w:r>
    </w:p>
    <w:p w14:paraId="3939ECD0">
      <w:pPr>
        <w:spacing w:line="560" w:lineRule="exact"/>
        <w:ind w:firstLine="640" w:firstLineChars="200"/>
        <w:rPr>
          <w:rFonts w:ascii="仿宋_GB2312" w:hAnsi="仿宋_GB2312" w:eastAsia="仿宋_GB2312"/>
          <w:sz w:val="32"/>
          <w:szCs w:val="44"/>
          <w:u w:val="single"/>
        </w:rPr>
      </w:pPr>
      <w:r>
        <w:rPr>
          <w:rFonts w:hint="eastAsia" w:ascii="仿宋_GB2312" w:hAnsi="仿宋_GB2312" w:eastAsia="仿宋_GB2312"/>
          <w:sz w:val="32"/>
          <w:szCs w:val="44"/>
        </w:rPr>
        <w:t>全区社会保险基金预算支出安排6.23亿元。其中，城乡居民基本养老保险基金支出2.47亿元，机关事业单位养老保险基金支出3.76亿元。</w:t>
      </w:r>
    </w:p>
    <w:p w14:paraId="14FB6943">
      <w:pPr>
        <w:snapToGrid w:val="0"/>
        <w:spacing w:line="560" w:lineRule="exact"/>
        <w:ind w:firstLine="640" w:firstLineChars="200"/>
        <w:rPr>
          <w:rFonts w:ascii="楷体_GB2312" w:hAnsi="楷体_GB2312" w:eastAsia="楷体_GB2312" w:cs="黑体"/>
          <w:sz w:val="32"/>
          <w:szCs w:val="44"/>
        </w:rPr>
      </w:pPr>
      <w:r>
        <w:rPr>
          <w:rFonts w:hint="eastAsia" w:ascii="楷体_GB2312" w:hAnsi="楷体_GB2312" w:eastAsia="楷体_GB2312" w:cs="黑体"/>
          <w:sz w:val="32"/>
          <w:szCs w:val="44"/>
        </w:rPr>
        <w:t>（四）国有资本经营预算安排情况</w:t>
      </w:r>
    </w:p>
    <w:p w14:paraId="531321CE">
      <w:pPr>
        <w:snapToGrid w:val="0"/>
        <w:spacing w:line="560" w:lineRule="exact"/>
        <w:ind w:firstLine="640" w:firstLineChars="200"/>
        <w:rPr>
          <w:rFonts w:ascii="仿宋_GB2312" w:eastAsia="仿宋_GB2312"/>
          <w:sz w:val="32"/>
          <w:szCs w:val="44"/>
        </w:rPr>
      </w:pPr>
      <w:r>
        <w:rPr>
          <w:rFonts w:hint="eastAsia" w:ascii="仿宋_GB2312" w:eastAsia="仿宋_GB2312"/>
          <w:sz w:val="32"/>
          <w:szCs w:val="44"/>
        </w:rPr>
        <w:t>全区国有资本经营预算收入上年结余6700万元，2020年安排收入5亿元，主要为基础设施经营权转让收入</w:t>
      </w:r>
      <w:r>
        <w:rPr>
          <w:rFonts w:hint="eastAsia" w:ascii="仿宋_GB2312" w:hAnsi="宋体" w:eastAsia="仿宋_GB2312"/>
          <w:sz w:val="32"/>
          <w:szCs w:val="44"/>
        </w:rPr>
        <w:t>。</w:t>
      </w:r>
    </w:p>
    <w:p w14:paraId="3BDA34E6">
      <w:pPr>
        <w:snapToGrid w:val="0"/>
        <w:spacing w:line="560" w:lineRule="exact"/>
        <w:ind w:firstLine="640" w:firstLineChars="200"/>
        <w:rPr>
          <w:rFonts w:ascii="仿宋_GB2312" w:eastAsia="仿宋_GB2312"/>
          <w:bCs/>
          <w:sz w:val="32"/>
          <w:szCs w:val="44"/>
        </w:rPr>
      </w:pPr>
      <w:r>
        <w:rPr>
          <w:rFonts w:hint="eastAsia" w:ascii="仿宋_GB2312" w:eastAsia="仿宋_GB2312"/>
          <w:sz w:val="32"/>
          <w:szCs w:val="44"/>
        </w:rPr>
        <w:t>按照以收定支的原则，相应安排支出5.67亿元，主要用于归还投资3.66亿元、可行性政府缺口补贴1.75亿元、</w:t>
      </w:r>
      <w:r>
        <w:rPr>
          <w:rFonts w:hint="eastAsia" w:ascii="仿宋_GB2312" w:eastAsia="仿宋_GB2312"/>
          <w:bCs/>
          <w:sz w:val="32"/>
          <w:szCs w:val="44"/>
        </w:rPr>
        <w:t>PPP费用1382万元、污水处理厂运行费1173万元。</w:t>
      </w:r>
    </w:p>
    <w:p w14:paraId="179DAF59">
      <w:pPr>
        <w:pStyle w:val="13"/>
        <w:spacing w:line="560" w:lineRule="exact"/>
        <w:ind w:firstLine="640" w:firstLineChars="200"/>
        <w:rPr>
          <w:rFonts w:ascii="楷体_GB2312" w:hAnsi="楷体_GB2312" w:eastAsia="楷体_GB2312"/>
          <w:bCs/>
          <w:color w:val="000000"/>
          <w:sz w:val="32"/>
          <w:szCs w:val="44"/>
        </w:rPr>
      </w:pPr>
      <w:r>
        <w:rPr>
          <w:rFonts w:hint="eastAsia" w:ascii="黑体" w:hAnsi="黑体" w:eastAsia="黑体" w:cs="黑体"/>
          <w:bCs/>
          <w:sz w:val="32"/>
          <w:szCs w:val="44"/>
        </w:rPr>
        <w:t>三</w:t>
      </w:r>
      <w:r>
        <w:rPr>
          <w:rFonts w:hint="eastAsia" w:ascii="楷体_GB2312" w:hAnsi="楷体_GB2312" w:eastAsia="楷体_GB2312" w:cs="黑体"/>
          <w:bCs/>
          <w:sz w:val="32"/>
          <w:szCs w:val="44"/>
        </w:rPr>
        <w:t>、</w:t>
      </w:r>
      <w:r>
        <w:rPr>
          <w:rFonts w:hint="eastAsia" w:ascii="黑体" w:hAnsi="宋体" w:eastAsia="黑体" w:cs="宋体"/>
          <w:bCs/>
          <w:sz w:val="32"/>
          <w:szCs w:val="44"/>
        </w:rPr>
        <w:t>2020年财政工作思路和措施</w:t>
      </w:r>
    </w:p>
    <w:p w14:paraId="31C93F52">
      <w:pPr>
        <w:pStyle w:val="6"/>
        <w:widowControl/>
        <w:spacing w:before="0" w:beforeAutospacing="0" w:after="0" w:afterAutospacing="0" w:line="560" w:lineRule="exact"/>
        <w:ind w:firstLine="640" w:firstLineChars="200"/>
        <w:jc w:val="both"/>
        <w:rPr>
          <w:rFonts w:ascii="仿宋_GB2312" w:hAnsi="仿宋_GB2312" w:eastAsia="仿宋_GB2312"/>
          <w:sz w:val="32"/>
          <w:szCs w:val="44"/>
        </w:rPr>
      </w:pPr>
      <w:r>
        <w:rPr>
          <w:rFonts w:ascii="仿宋_GB2312" w:hAnsi="仿宋_GB2312" w:eastAsia="仿宋_GB2312"/>
          <w:sz w:val="32"/>
          <w:szCs w:val="44"/>
        </w:rPr>
        <w:t>20</w:t>
      </w:r>
      <w:r>
        <w:rPr>
          <w:rFonts w:hint="eastAsia" w:ascii="仿宋_GB2312" w:hAnsi="仿宋_GB2312" w:eastAsia="仿宋_GB2312"/>
          <w:sz w:val="32"/>
          <w:szCs w:val="44"/>
        </w:rPr>
        <w:t>20</w:t>
      </w:r>
      <w:r>
        <w:rPr>
          <w:rFonts w:ascii="仿宋_GB2312" w:hAnsi="仿宋_GB2312" w:eastAsia="仿宋_GB2312"/>
          <w:sz w:val="32"/>
          <w:szCs w:val="44"/>
        </w:rPr>
        <w:t>年，</w:t>
      </w:r>
      <w:r>
        <w:rPr>
          <w:rFonts w:hint="eastAsia" w:ascii="仿宋_GB2312" w:hAnsi="仿宋_GB2312" w:eastAsia="仿宋_GB2312"/>
          <w:sz w:val="32"/>
          <w:szCs w:val="44"/>
        </w:rPr>
        <w:t>牢固树立过紧日子思想，开源节流、精打细算、加强监督，</w:t>
      </w:r>
      <w:r>
        <w:rPr>
          <w:rFonts w:ascii="仿宋_GB2312" w:hAnsi="仿宋_GB2312" w:eastAsia="仿宋_GB2312"/>
          <w:sz w:val="32"/>
          <w:szCs w:val="44"/>
        </w:rPr>
        <w:t xml:space="preserve">确保年度预算及各项任务顺利完成。 </w:t>
      </w:r>
    </w:p>
    <w:p w14:paraId="0E56E1EA">
      <w:pPr>
        <w:pStyle w:val="6"/>
        <w:widowControl/>
        <w:spacing w:before="0" w:beforeAutospacing="0" w:after="0" w:afterAutospacing="0" w:line="560" w:lineRule="exact"/>
        <w:ind w:firstLine="640" w:firstLineChars="200"/>
        <w:jc w:val="both"/>
        <w:rPr>
          <w:rFonts w:ascii="楷体" w:hAnsi="楷体" w:eastAsia="楷体" w:cs="楷体"/>
          <w:sz w:val="32"/>
          <w:szCs w:val="44"/>
        </w:rPr>
      </w:pPr>
      <w:r>
        <w:rPr>
          <w:rFonts w:hint="eastAsia" w:ascii="楷体" w:hAnsi="楷体" w:eastAsia="楷体" w:cs="楷体"/>
          <w:sz w:val="32"/>
          <w:szCs w:val="44"/>
          <w:shd w:val="clear" w:color="auto" w:fill="FFFFFF"/>
        </w:rPr>
        <w:t xml:space="preserve">（一）深化“放管服”，在支持实体经济上发力 </w:t>
      </w:r>
    </w:p>
    <w:p w14:paraId="5AE7E977">
      <w:pPr>
        <w:pStyle w:val="6"/>
        <w:widowControl/>
        <w:spacing w:before="0" w:beforeAutospacing="0" w:after="0" w:afterAutospacing="0" w:line="560" w:lineRule="exact"/>
        <w:ind w:firstLine="640" w:firstLineChars="200"/>
        <w:jc w:val="both"/>
        <w:rPr>
          <w:rFonts w:ascii="仿宋_GB2312" w:hAnsi="仿宋_GB2312" w:eastAsia="仿宋_GB2312"/>
          <w:sz w:val="32"/>
          <w:szCs w:val="44"/>
        </w:rPr>
      </w:pPr>
      <w:r>
        <w:rPr>
          <w:rFonts w:hint="eastAsia" w:ascii="楷体" w:hAnsi="楷体" w:eastAsia="楷体" w:cs="楷体"/>
          <w:sz w:val="32"/>
          <w:szCs w:val="44"/>
          <w:shd w:val="clear" w:color="auto" w:fill="FFFFFF"/>
        </w:rPr>
        <w:t>坚持引导与扶持并重，全力支持实体经济发展。</w:t>
      </w:r>
      <w:r>
        <w:rPr>
          <w:rFonts w:ascii="仿宋_GB2312" w:hAnsi="仿宋_GB2312" w:eastAsia="仿宋_GB2312"/>
          <w:sz w:val="32"/>
          <w:szCs w:val="44"/>
        </w:rPr>
        <w:t>一要认真贯彻落实省市政府出台的支持民营经济发展、“四</w:t>
      </w:r>
      <w:r>
        <w:rPr>
          <w:rFonts w:hint="eastAsia" w:ascii="仿宋_GB2312" w:hAnsi="仿宋_GB2312" w:eastAsia="仿宋_GB2312"/>
          <w:sz w:val="32"/>
          <w:szCs w:val="44"/>
        </w:rPr>
        <w:t>种类型经济</w:t>
      </w:r>
      <w:r>
        <w:rPr>
          <w:rFonts w:ascii="仿宋_GB2312" w:hAnsi="仿宋_GB2312" w:eastAsia="仿宋_GB2312"/>
          <w:sz w:val="32"/>
          <w:szCs w:val="44"/>
        </w:rPr>
        <w:t>”以及区出台的产业扶持政策，尽快形成稳定性强、支撑作用明显的经济实体。二要落实小微企业、科技</w:t>
      </w:r>
      <w:r>
        <w:rPr>
          <w:rFonts w:hint="eastAsia" w:ascii="仿宋_GB2312" w:hAnsi="仿宋_GB2312" w:eastAsia="仿宋_GB2312"/>
          <w:sz w:val="32"/>
          <w:szCs w:val="44"/>
        </w:rPr>
        <w:t>创新型</w:t>
      </w:r>
      <w:r>
        <w:rPr>
          <w:rFonts w:ascii="仿宋_GB2312" w:hAnsi="仿宋_GB2312" w:eastAsia="仿宋_GB2312"/>
          <w:sz w:val="32"/>
          <w:szCs w:val="44"/>
        </w:rPr>
        <w:t>企业等减税降费政策，切实降低企业生产经营成本，提升企业市场竞争力，</w:t>
      </w:r>
      <w:r>
        <w:rPr>
          <w:rFonts w:hint="eastAsia" w:ascii="仿宋_GB2312" w:hAnsi="仿宋_GB2312" w:eastAsia="仿宋_GB2312"/>
          <w:sz w:val="32"/>
          <w:szCs w:val="44"/>
        </w:rPr>
        <w:t>促进产业结构调整，</w:t>
      </w:r>
      <w:r>
        <w:rPr>
          <w:rFonts w:ascii="仿宋_GB2312" w:hAnsi="仿宋_GB2312" w:eastAsia="仿宋_GB2312"/>
          <w:sz w:val="32"/>
          <w:szCs w:val="44"/>
        </w:rPr>
        <w:t>推动经济高质量发展。三要</w:t>
      </w:r>
      <w:r>
        <w:rPr>
          <w:rFonts w:hint="eastAsia" w:ascii="仿宋_GB2312" w:hAnsi="仿宋_GB2312" w:eastAsia="仿宋_GB2312"/>
          <w:sz w:val="32"/>
          <w:szCs w:val="44"/>
        </w:rPr>
        <w:t>加强政企合作，积极推进与金融机构的“助保贷”合作，助力解决中小微企业融资难问题。</w:t>
      </w:r>
      <w:r>
        <w:rPr>
          <w:rFonts w:ascii="仿宋_GB2312" w:hAnsi="仿宋_GB2312" w:eastAsia="仿宋_GB2312"/>
          <w:sz w:val="32"/>
          <w:szCs w:val="44"/>
        </w:rPr>
        <w:t>四要</w:t>
      </w:r>
      <w:r>
        <w:rPr>
          <w:rFonts w:hint="eastAsia" w:ascii="仿宋_GB2312" w:hAnsi="仿宋_GB2312" w:eastAsia="仿宋_GB2312"/>
          <w:sz w:val="32"/>
          <w:szCs w:val="44"/>
        </w:rPr>
        <w:t>围绕区委“产业发展”和“园区建设”提升工程，加大招商力度，认真落实石家庄市《关于支持实体商业发展的措施》等各项优惠扶持政策，发挥财政资金的杠杆作用，鼓励企业实施技术改造，提高企业效益，壮大我区财源。</w:t>
      </w:r>
    </w:p>
    <w:p w14:paraId="3FD0F239">
      <w:pPr>
        <w:pStyle w:val="6"/>
        <w:widowControl/>
        <w:spacing w:before="0" w:beforeAutospacing="0" w:after="0" w:afterAutospacing="0" w:line="560" w:lineRule="exact"/>
        <w:ind w:firstLine="640" w:firstLineChars="200"/>
        <w:jc w:val="both"/>
        <w:rPr>
          <w:rFonts w:ascii="楷体" w:hAnsi="楷体" w:eastAsia="楷体" w:cs="楷体"/>
          <w:sz w:val="32"/>
          <w:szCs w:val="44"/>
        </w:rPr>
      </w:pPr>
      <w:r>
        <w:rPr>
          <w:rFonts w:hint="eastAsia" w:ascii="楷体" w:hAnsi="楷体" w:eastAsia="楷体" w:cs="楷体"/>
          <w:sz w:val="32"/>
          <w:szCs w:val="44"/>
          <w:shd w:val="clear" w:color="auto" w:fill="FFFFFF"/>
        </w:rPr>
        <w:t xml:space="preserve">（二）牵住“牛鼻子”，在财政收入组织上发力 </w:t>
      </w:r>
    </w:p>
    <w:p w14:paraId="39D04944">
      <w:pPr>
        <w:pStyle w:val="6"/>
        <w:widowControl/>
        <w:spacing w:before="0" w:beforeAutospacing="0" w:after="0" w:afterAutospacing="0" w:line="560" w:lineRule="exact"/>
        <w:ind w:firstLine="640" w:firstLineChars="200"/>
        <w:jc w:val="both"/>
        <w:rPr>
          <w:rFonts w:ascii="仿宋_GB2312" w:hAnsi="仿宋_GB2312" w:eastAsia="仿宋_GB2312"/>
          <w:sz w:val="32"/>
          <w:szCs w:val="44"/>
        </w:rPr>
      </w:pPr>
      <w:r>
        <w:rPr>
          <w:rFonts w:hint="eastAsia" w:ascii="楷体" w:hAnsi="楷体" w:eastAsia="楷体" w:cs="楷体"/>
          <w:sz w:val="32"/>
          <w:szCs w:val="44"/>
          <w:shd w:val="clear" w:color="auto" w:fill="FFFFFF"/>
        </w:rPr>
        <w:t>坚持鼓励与约束并重，全力做好收入组织工作。</w:t>
      </w:r>
      <w:r>
        <w:rPr>
          <w:rFonts w:ascii="仿宋_GB2312" w:hAnsi="仿宋_GB2312" w:eastAsia="仿宋_GB2312"/>
          <w:sz w:val="32"/>
          <w:szCs w:val="44"/>
        </w:rPr>
        <w:t>一</w:t>
      </w:r>
      <w:r>
        <w:rPr>
          <w:rFonts w:hint="eastAsia" w:ascii="仿宋_GB2312" w:hAnsi="仿宋_GB2312" w:eastAsia="仿宋_GB2312"/>
          <w:sz w:val="32"/>
          <w:szCs w:val="44"/>
        </w:rPr>
        <w:t>要</w:t>
      </w:r>
      <w:r>
        <w:rPr>
          <w:rFonts w:ascii="仿宋_GB2312" w:hAnsi="仿宋_GB2312" w:eastAsia="仿宋_GB2312"/>
          <w:sz w:val="32"/>
          <w:szCs w:val="44"/>
        </w:rPr>
        <w:t>围绕年度目标任务，及时进行任务分解及下达，做到早部署、早安排，实现抓早、抓好、抓出成效。二</w:t>
      </w:r>
      <w:r>
        <w:rPr>
          <w:rFonts w:hint="eastAsia" w:ascii="仿宋_GB2312" w:hAnsi="仿宋_GB2312" w:eastAsia="仿宋_GB2312"/>
          <w:sz w:val="32"/>
          <w:szCs w:val="44"/>
        </w:rPr>
        <w:t>要严格落实</w:t>
      </w:r>
      <w:r>
        <w:rPr>
          <w:rFonts w:hint="eastAsia" w:ascii="仿宋_GB2312" w:hAnsi="仿宋" w:eastAsia="仿宋_GB2312"/>
          <w:sz w:val="32"/>
          <w:szCs w:val="44"/>
        </w:rPr>
        <w:t>《藁城区超收财力预算管理暂行办法》，充分发挥财政体制激励作用</w:t>
      </w:r>
      <w:r>
        <w:rPr>
          <w:rFonts w:hint="eastAsia" w:ascii="仿宋_GB2312" w:hAnsi="仿宋_GB2312" w:eastAsia="仿宋_GB2312"/>
          <w:sz w:val="32"/>
          <w:szCs w:val="44"/>
        </w:rPr>
        <w:t>，进一步激发乡镇增收积极性。</w:t>
      </w:r>
      <w:r>
        <w:rPr>
          <w:rFonts w:ascii="仿宋_GB2312" w:hAnsi="仿宋_GB2312" w:eastAsia="仿宋_GB2312"/>
          <w:sz w:val="32"/>
          <w:szCs w:val="44"/>
        </w:rPr>
        <w:t>三</w:t>
      </w:r>
      <w:r>
        <w:rPr>
          <w:rFonts w:hint="eastAsia" w:ascii="仿宋_GB2312" w:hAnsi="仿宋_GB2312" w:eastAsia="仿宋_GB2312"/>
          <w:sz w:val="32"/>
          <w:szCs w:val="44"/>
        </w:rPr>
        <w:t>要进一步深化综合治税改革，加强各执收</w:t>
      </w:r>
      <w:r>
        <w:rPr>
          <w:rFonts w:ascii="仿宋_GB2312" w:hAnsi="仿宋_GB2312" w:eastAsia="仿宋_GB2312"/>
          <w:sz w:val="32"/>
          <w:szCs w:val="44"/>
        </w:rPr>
        <w:t>部门</w:t>
      </w:r>
      <w:r>
        <w:rPr>
          <w:rFonts w:hint="eastAsia" w:ascii="仿宋_GB2312" w:hAnsi="仿宋_GB2312" w:eastAsia="仿宋_GB2312"/>
          <w:sz w:val="32"/>
          <w:szCs w:val="44"/>
        </w:rPr>
        <w:t>协调</w:t>
      </w:r>
      <w:r>
        <w:rPr>
          <w:rFonts w:ascii="仿宋_GB2312" w:hAnsi="仿宋_GB2312" w:eastAsia="仿宋_GB2312"/>
          <w:sz w:val="32"/>
          <w:szCs w:val="44"/>
        </w:rPr>
        <w:t>配合，建立常态化协调及信息共享机制，确保年度收入目标任务顺利完成。</w:t>
      </w:r>
      <w:r>
        <w:rPr>
          <w:rFonts w:hint="eastAsia" w:ascii="仿宋_GB2312" w:hAnsi="仿宋_GB2312" w:eastAsia="仿宋_GB2312"/>
          <w:sz w:val="32"/>
          <w:szCs w:val="44"/>
        </w:rPr>
        <w:t>四要全面加强收入监控预测。做好税种测算，将税收任务落实到税种税目、重点企业，特别是做好土地增值税清算工作，确保</w:t>
      </w:r>
      <w:r>
        <w:rPr>
          <w:rFonts w:hint="eastAsia" w:ascii="仿宋_GB2312" w:hAnsi="仿宋_GB2312" w:eastAsia="仿宋_GB2312" w:cs="仿宋_GB2312"/>
          <w:sz w:val="32"/>
          <w:szCs w:val="44"/>
        </w:rPr>
        <w:t>依法应收尽收。</w:t>
      </w:r>
    </w:p>
    <w:p w14:paraId="7825A654">
      <w:pPr>
        <w:pStyle w:val="6"/>
        <w:widowControl/>
        <w:spacing w:before="0" w:beforeAutospacing="0" w:after="0" w:afterAutospacing="0" w:line="560" w:lineRule="exact"/>
        <w:ind w:firstLine="640" w:firstLineChars="200"/>
        <w:jc w:val="both"/>
        <w:rPr>
          <w:rFonts w:ascii="楷体" w:hAnsi="楷体" w:eastAsia="楷体" w:cs="楷体"/>
          <w:sz w:val="32"/>
          <w:szCs w:val="44"/>
          <w:shd w:val="clear" w:color="auto" w:fill="FFFFFF"/>
        </w:rPr>
      </w:pPr>
      <w:r>
        <w:rPr>
          <w:rFonts w:hint="eastAsia" w:ascii="楷体" w:hAnsi="楷体" w:eastAsia="楷体" w:cs="楷体"/>
          <w:sz w:val="32"/>
          <w:szCs w:val="44"/>
          <w:shd w:val="clear" w:color="auto" w:fill="FFFFFF"/>
        </w:rPr>
        <w:t xml:space="preserve">（三）坚持“保重点”，在保障重点支出上发力 </w:t>
      </w:r>
    </w:p>
    <w:p w14:paraId="1B7D9A47">
      <w:pPr>
        <w:pStyle w:val="6"/>
        <w:widowControl/>
        <w:spacing w:before="0" w:beforeAutospacing="0" w:after="0" w:afterAutospacing="0" w:line="560" w:lineRule="exact"/>
        <w:ind w:firstLine="640" w:firstLineChars="200"/>
        <w:jc w:val="both"/>
        <w:rPr>
          <w:rFonts w:ascii="仿宋_GB2312" w:hAnsi="仿宋_GB2312" w:eastAsia="仿宋_GB2312"/>
          <w:sz w:val="32"/>
          <w:szCs w:val="44"/>
        </w:rPr>
      </w:pPr>
      <w:r>
        <w:rPr>
          <w:rFonts w:hint="eastAsia" w:ascii="楷体" w:hAnsi="楷体" w:eastAsia="楷体" w:cs="楷体"/>
          <w:sz w:val="32"/>
          <w:szCs w:val="44"/>
          <w:shd w:val="clear" w:color="auto" w:fill="FFFFFF"/>
        </w:rPr>
        <w:t>坚持压缩与统筹并重，全力保障重点支出需求。</w:t>
      </w:r>
      <w:r>
        <w:rPr>
          <w:rFonts w:ascii="仿宋_GB2312" w:hAnsi="仿宋_GB2312" w:eastAsia="仿宋_GB2312"/>
          <w:sz w:val="32"/>
          <w:szCs w:val="44"/>
        </w:rPr>
        <w:t>一要严把支出关，压缩三公经费</w:t>
      </w:r>
      <w:r>
        <w:rPr>
          <w:rFonts w:hint="eastAsia" w:ascii="仿宋_GB2312" w:hAnsi="仿宋_GB2312" w:eastAsia="仿宋_GB2312"/>
          <w:sz w:val="32"/>
          <w:szCs w:val="44"/>
        </w:rPr>
        <w:t>、</w:t>
      </w:r>
      <w:r>
        <w:rPr>
          <w:rFonts w:ascii="仿宋_GB2312" w:hAnsi="仿宋_GB2312" w:eastAsia="仿宋_GB2312"/>
          <w:sz w:val="32"/>
          <w:szCs w:val="44"/>
        </w:rPr>
        <w:t>一般性支出</w:t>
      </w:r>
      <w:r>
        <w:rPr>
          <w:rFonts w:hint="eastAsia" w:ascii="仿宋_GB2312" w:hAnsi="仿宋_GB2312" w:eastAsia="仿宋_GB2312"/>
          <w:sz w:val="32"/>
          <w:szCs w:val="44"/>
        </w:rPr>
        <w:t>及</w:t>
      </w:r>
      <w:r>
        <w:rPr>
          <w:rFonts w:ascii="仿宋_GB2312" w:hAnsi="仿宋_GB2312" w:eastAsia="仿宋_GB2312"/>
          <w:sz w:val="32"/>
          <w:szCs w:val="44"/>
        </w:rPr>
        <w:t>专项公用经费，集中财力保工资、保重点、保基本民生。二要</w:t>
      </w:r>
      <w:r>
        <w:rPr>
          <w:rFonts w:hint="eastAsia" w:ascii="仿宋_GB2312" w:hAnsi="仿宋_GB2312" w:eastAsia="仿宋_GB2312"/>
          <w:sz w:val="32"/>
          <w:szCs w:val="44"/>
        </w:rPr>
        <w:t>严格预算管理</w:t>
      </w:r>
      <w:r>
        <w:rPr>
          <w:rFonts w:ascii="仿宋_GB2312" w:hAnsi="仿宋_GB2312" w:eastAsia="仿宋_GB2312"/>
          <w:sz w:val="32"/>
          <w:szCs w:val="44"/>
        </w:rPr>
        <w:t>，</w:t>
      </w:r>
      <w:r>
        <w:rPr>
          <w:rFonts w:hint="eastAsia" w:ascii="仿宋_GB2312" w:hAnsi="仿宋_GB2312" w:eastAsia="仿宋_GB2312"/>
          <w:sz w:val="32"/>
          <w:szCs w:val="44"/>
        </w:rPr>
        <w:t>规范</w:t>
      </w:r>
      <w:r>
        <w:rPr>
          <w:rFonts w:ascii="仿宋_GB2312" w:hAnsi="仿宋_GB2312" w:eastAsia="仿宋_GB2312"/>
          <w:sz w:val="32"/>
          <w:szCs w:val="44"/>
        </w:rPr>
        <w:t>预算执行，努力实现预算刚性约束。对于各部门年底</w:t>
      </w:r>
      <w:r>
        <w:rPr>
          <w:rFonts w:hint="eastAsia" w:ascii="仿宋_GB2312" w:hAnsi="仿宋_GB2312" w:eastAsia="仿宋_GB2312"/>
          <w:sz w:val="32"/>
          <w:szCs w:val="44"/>
        </w:rPr>
        <w:t>未支出的本级项目资金，原则上全部收回，用于补充预算稳定调节基金。三</w:t>
      </w:r>
      <w:r>
        <w:rPr>
          <w:rFonts w:ascii="仿宋_GB2312" w:hAnsi="仿宋_GB2312" w:eastAsia="仿宋_GB2312"/>
          <w:sz w:val="32"/>
          <w:szCs w:val="44"/>
        </w:rPr>
        <w:t>要统筹整合项目资金，做好项目资金统筹整合文章，切实发挥项目资金使用效益。</w:t>
      </w:r>
      <w:r>
        <w:rPr>
          <w:rFonts w:hint="eastAsia" w:ascii="仿宋_GB2312" w:hAnsi="仿宋_GB2312" w:eastAsia="仿宋_GB2312"/>
          <w:sz w:val="32"/>
          <w:szCs w:val="44"/>
        </w:rPr>
        <w:t>四</w:t>
      </w:r>
      <w:r>
        <w:rPr>
          <w:rFonts w:ascii="仿宋_GB2312" w:hAnsi="仿宋_GB2312" w:eastAsia="仿宋_GB2312"/>
          <w:sz w:val="32"/>
          <w:szCs w:val="44"/>
        </w:rPr>
        <w:t xml:space="preserve">要持续加大民生投入，以实施民生工程为抓手，精准对接群众需求，创新创优民生服务，不断提高民生保障与改善水平。 </w:t>
      </w:r>
    </w:p>
    <w:p w14:paraId="1D63104C">
      <w:pPr>
        <w:pStyle w:val="6"/>
        <w:widowControl/>
        <w:spacing w:before="0" w:beforeAutospacing="0" w:after="0" w:afterAutospacing="0" w:line="560" w:lineRule="exact"/>
        <w:ind w:firstLine="640" w:firstLineChars="200"/>
        <w:jc w:val="both"/>
        <w:rPr>
          <w:rFonts w:ascii="楷体" w:hAnsi="楷体" w:eastAsia="楷体" w:cs="楷体"/>
          <w:b/>
          <w:bCs/>
          <w:sz w:val="32"/>
          <w:szCs w:val="44"/>
        </w:rPr>
      </w:pPr>
      <w:r>
        <w:rPr>
          <w:rFonts w:hint="eastAsia" w:ascii="楷体" w:hAnsi="楷体" w:eastAsia="楷体" w:cs="楷体"/>
          <w:sz w:val="32"/>
          <w:szCs w:val="44"/>
          <w:shd w:val="clear" w:color="auto" w:fill="FFFFFF"/>
        </w:rPr>
        <w:t xml:space="preserve">（四）立足“多元化”，在构建投融资体系上发力 </w:t>
      </w:r>
    </w:p>
    <w:p w14:paraId="1F043824">
      <w:pPr>
        <w:pStyle w:val="6"/>
        <w:widowControl/>
        <w:spacing w:before="0" w:beforeAutospacing="0" w:after="0" w:afterAutospacing="0" w:line="560" w:lineRule="exact"/>
        <w:ind w:firstLine="640" w:firstLineChars="200"/>
        <w:jc w:val="both"/>
        <w:rPr>
          <w:rFonts w:ascii="仿宋_GB2312" w:hAnsi="仿宋_GB2312" w:eastAsia="仿宋_GB2312"/>
          <w:sz w:val="32"/>
          <w:szCs w:val="44"/>
          <w:u w:val="single"/>
        </w:rPr>
      </w:pPr>
      <w:r>
        <w:rPr>
          <w:rFonts w:hint="eastAsia" w:ascii="楷体" w:hAnsi="楷体" w:eastAsia="楷体" w:cs="楷体"/>
          <w:sz w:val="32"/>
          <w:szCs w:val="44"/>
          <w:shd w:val="clear" w:color="auto" w:fill="FFFFFF"/>
        </w:rPr>
        <w:t>坚持创新与规范并重，全力拓宽投融资渠道。</w:t>
      </w:r>
      <w:r>
        <w:rPr>
          <w:rFonts w:ascii="仿宋_GB2312" w:hAnsi="仿宋_GB2312" w:eastAsia="仿宋_GB2312"/>
          <w:sz w:val="32"/>
          <w:szCs w:val="44"/>
        </w:rPr>
        <w:t>一要健全以政府债券为主体的政府举债机制，积极向上争取债券，支持</w:t>
      </w:r>
      <w:r>
        <w:rPr>
          <w:rFonts w:hint="eastAsia" w:ascii="仿宋_GB2312" w:hAnsi="仿宋_GB2312" w:eastAsia="仿宋_GB2312"/>
          <w:sz w:val="32"/>
          <w:szCs w:val="44"/>
        </w:rPr>
        <w:t>滹沱河生态修复二期工程及廉州路和工业路东伸、四明街提升南延等城市品味提升工程建设。</w:t>
      </w:r>
      <w:r>
        <w:rPr>
          <w:rFonts w:ascii="仿宋_GB2312" w:hAnsi="仿宋_GB2312" w:eastAsia="仿宋_GB2312"/>
          <w:sz w:val="32"/>
          <w:szCs w:val="44"/>
        </w:rPr>
        <w:t>二要</w:t>
      </w:r>
      <w:r>
        <w:rPr>
          <w:rFonts w:hint="eastAsia" w:ascii="仿宋_GB2312" w:hAnsi="仿宋_GB2312" w:eastAsia="仿宋_GB2312"/>
          <w:sz w:val="32"/>
          <w:szCs w:val="44"/>
        </w:rPr>
        <w:t>加快推进已签约的基础设施、生活垃圾资源化处理、产业市镇片区开发、区域水资源提升等PPP项目建设，同时</w:t>
      </w:r>
      <w:r>
        <w:rPr>
          <w:rFonts w:ascii="仿宋_GB2312" w:hAnsi="仿宋_GB2312" w:eastAsia="仿宋_GB2312"/>
          <w:sz w:val="32"/>
          <w:szCs w:val="44"/>
        </w:rPr>
        <w:t>规范引入社会资本参与</w:t>
      </w:r>
      <w:r>
        <w:rPr>
          <w:rFonts w:hint="eastAsia" w:ascii="仿宋_GB2312" w:hAnsi="仿宋_GB2312" w:eastAsia="仿宋_GB2312"/>
          <w:sz w:val="32"/>
          <w:szCs w:val="44"/>
        </w:rPr>
        <w:t>石家庄经济技术开发区污水处理厂PPP项目建设</w:t>
      </w:r>
      <w:r>
        <w:rPr>
          <w:rFonts w:ascii="仿宋_GB2312" w:hAnsi="仿宋_GB2312" w:eastAsia="仿宋_GB2312"/>
          <w:sz w:val="32"/>
          <w:szCs w:val="44"/>
        </w:rPr>
        <w:t>。</w:t>
      </w:r>
      <w:r>
        <w:rPr>
          <w:rFonts w:hint="eastAsia" w:ascii="仿宋_GB2312" w:hAnsi="仿宋_GB2312" w:eastAsia="仿宋_GB2312"/>
          <w:sz w:val="32"/>
          <w:szCs w:val="44"/>
        </w:rPr>
        <w:t>三是做大做强建投公司，通过债券融资、融资租赁、资产证券化等多元化融资方式，提升公司资金融通实力。加快实施商贸大厦、招待处片区改造及人民广场的提升改造等项目，不断提升城市品质。进一步完善土地收储资金“周转池”，明确责任、捋顺关系、严格流程，加快推进土地收储工作。</w:t>
      </w:r>
    </w:p>
    <w:p w14:paraId="2446FE40">
      <w:pPr>
        <w:pStyle w:val="6"/>
        <w:widowControl/>
        <w:spacing w:before="0" w:beforeAutospacing="0" w:after="0" w:afterAutospacing="0" w:line="560" w:lineRule="exact"/>
        <w:ind w:firstLine="640" w:firstLineChars="200"/>
        <w:jc w:val="both"/>
        <w:rPr>
          <w:rFonts w:ascii="楷体" w:hAnsi="楷体" w:eastAsia="楷体" w:cs="楷体"/>
          <w:b/>
          <w:sz w:val="32"/>
          <w:szCs w:val="44"/>
        </w:rPr>
      </w:pPr>
      <w:r>
        <w:rPr>
          <w:rFonts w:hint="eastAsia" w:ascii="楷体" w:hAnsi="楷体" w:eastAsia="楷体" w:cs="楷体"/>
          <w:sz w:val="32"/>
          <w:szCs w:val="44"/>
          <w:shd w:val="clear" w:color="auto" w:fill="FFFFFF"/>
        </w:rPr>
        <w:t>（五）争当“多面手”，在加强财政建设上发力</w:t>
      </w:r>
      <w:r>
        <w:rPr>
          <w:rFonts w:hint="eastAsia" w:ascii="楷体" w:hAnsi="楷体" w:eastAsia="楷体" w:cs="楷体"/>
          <w:b/>
          <w:sz w:val="32"/>
          <w:szCs w:val="44"/>
          <w:shd w:val="clear" w:color="auto" w:fill="FFFFFF"/>
        </w:rPr>
        <w:t xml:space="preserve"> </w:t>
      </w:r>
    </w:p>
    <w:p w14:paraId="4604A88A">
      <w:pPr>
        <w:widowControl/>
        <w:shd w:val="clear" w:color="auto" w:fill="FFFFFF"/>
        <w:spacing w:line="560" w:lineRule="exact"/>
        <w:ind w:firstLine="640" w:firstLineChars="200"/>
        <w:rPr>
          <w:rFonts w:ascii="仿宋_GB2312" w:hAnsi="仿宋_GB2312" w:eastAsia="仿宋_GB2312"/>
          <w:sz w:val="32"/>
          <w:szCs w:val="44"/>
        </w:rPr>
      </w:pPr>
      <w:r>
        <w:rPr>
          <w:rFonts w:hint="eastAsia" w:ascii="楷体" w:hAnsi="楷体" w:eastAsia="楷体" w:cs="楷体"/>
          <w:kern w:val="0"/>
          <w:sz w:val="32"/>
          <w:szCs w:val="44"/>
          <w:shd w:val="clear" w:color="auto" w:fill="FFFFFF"/>
        </w:rPr>
        <w:t>坚持严控与监管并重，全力提升财政服务水平。</w:t>
      </w:r>
      <w:r>
        <w:rPr>
          <w:rFonts w:ascii="仿宋_GB2312" w:hAnsi="仿宋_GB2312" w:eastAsia="仿宋_GB2312" w:cs="黑体"/>
          <w:kern w:val="0"/>
          <w:sz w:val="32"/>
          <w:szCs w:val="44"/>
          <w:lang w:bidi="ar"/>
        </w:rPr>
        <w:t>一要继续完善预决算、“三公经费”信息公开工作，主动接受社会监督。二要</w:t>
      </w:r>
      <w:r>
        <w:rPr>
          <w:rFonts w:hint="eastAsia" w:ascii="仿宋_GB2312" w:hAnsi="仿宋_GB2312" w:eastAsia="仿宋_GB2312" w:cs="黑体"/>
          <w:kern w:val="0"/>
          <w:sz w:val="32"/>
          <w:szCs w:val="44"/>
          <w:lang w:bidi="ar"/>
        </w:rPr>
        <w:t>按照《深化政府采购制度改革方案》总体部署，进一步提高政府采购的数据化和信息化水平</w:t>
      </w:r>
      <w:r>
        <w:rPr>
          <w:rFonts w:ascii="仿宋_GB2312" w:hAnsi="仿宋_GB2312" w:eastAsia="仿宋_GB2312" w:cs="黑体"/>
          <w:kern w:val="0"/>
          <w:sz w:val="32"/>
          <w:szCs w:val="44"/>
          <w:lang w:bidi="ar"/>
        </w:rPr>
        <w:t>。三要加强财政监督，坚</w:t>
      </w:r>
      <w:r>
        <w:rPr>
          <w:rFonts w:ascii="仿宋_GB2312" w:hAnsi="仿宋_GB2312" w:eastAsia="仿宋_GB2312"/>
          <w:sz w:val="32"/>
          <w:szCs w:val="44"/>
        </w:rPr>
        <w:t>持“自查全覆盖、抽查随时在、督查是常态”的全方位管控、监督机制。四要</w:t>
      </w:r>
      <w:r>
        <w:rPr>
          <w:rFonts w:hint="eastAsia" w:ascii="仿宋_GB2312" w:hAnsi="仿宋_GB2312" w:eastAsia="仿宋_GB2312"/>
          <w:sz w:val="32"/>
          <w:szCs w:val="44"/>
        </w:rPr>
        <w:t>深化城市建设体制改革，加快成立政府投资项目代建中心，促进政府职能转变，彻底解决政府投资项目管理分散、专业化水平不高等问题。</w:t>
      </w:r>
      <w:r>
        <w:rPr>
          <w:rFonts w:ascii="仿宋_GB2312" w:hAnsi="仿宋_GB2312" w:eastAsia="仿宋_GB2312"/>
          <w:sz w:val="32"/>
          <w:szCs w:val="44"/>
        </w:rPr>
        <w:t>五要</w:t>
      </w:r>
      <w:r>
        <w:rPr>
          <w:rFonts w:hint="eastAsia" w:ascii="仿宋_GB2312" w:hAnsi="仿宋_GB2312" w:eastAsia="仿宋_GB2312"/>
          <w:sz w:val="32"/>
          <w:szCs w:val="44"/>
        </w:rPr>
        <w:t>严格执行地方政府债务限额管理制度，强化风险意识、底线思维，树立全区“一盘棋”思想，坚持精准施策、标本兼治，持续开展风险大排查，为加快建设经济强区营造安全稳定的良好环境。</w:t>
      </w:r>
    </w:p>
    <w:p w14:paraId="55EF29E2">
      <w:pPr>
        <w:widowControl/>
        <w:shd w:val="clear" w:color="auto" w:fill="FFFFFF"/>
        <w:spacing w:line="560" w:lineRule="exact"/>
        <w:ind w:firstLine="640" w:firstLineChars="200"/>
        <w:rPr>
          <w:sz w:val="32"/>
          <w:szCs w:val="44"/>
        </w:rPr>
      </w:pPr>
      <w:r>
        <w:rPr>
          <w:rFonts w:ascii="仿宋_GB2312" w:hAnsi="仿宋_GB2312" w:eastAsia="仿宋_GB2312"/>
          <w:sz w:val="32"/>
          <w:szCs w:val="44"/>
        </w:rPr>
        <w:t>各位代表，回望来路风正劲，扬帆启航谱新篇。做好20</w:t>
      </w:r>
      <w:r>
        <w:rPr>
          <w:rFonts w:hint="eastAsia" w:ascii="仿宋_GB2312" w:hAnsi="仿宋_GB2312" w:eastAsia="仿宋_GB2312"/>
          <w:sz w:val="32"/>
          <w:szCs w:val="44"/>
        </w:rPr>
        <w:t>20</w:t>
      </w:r>
      <w:r>
        <w:rPr>
          <w:rFonts w:ascii="仿宋_GB2312" w:hAnsi="仿宋_GB2312" w:eastAsia="仿宋_GB2312"/>
          <w:sz w:val="32"/>
          <w:szCs w:val="44"/>
        </w:rPr>
        <w:t>年财政工作责任重大，任务艰巨。让我们在区委</w:t>
      </w:r>
      <w:r>
        <w:rPr>
          <w:rFonts w:hint="eastAsia" w:ascii="仿宋_GB2312" w:hAnsi="仿宋_GB2312" w:eastAsia="仿宋_GB2312"/>
          <w:sz w:val="32"/>
          <w:szCs w:val="44"/>
        </w:rPr>
        <w:t>的</w:t>
      </w:r>
      <w:r>
        <w:rPr>
          <w:rFonts w:ascii="仿宋_GB2312" w:hAnsi="仿宋_GB2312" w:eastAsia="仿宋_GB2312"/>
          <w:sz w:val="32"/>
          <w:szCs w:val="44"/>
        </w:rPr>
        <w:t>坚强领导下，在区人大、区政协的监督支持下，</w:t>
      </w:r>
      <w:r>
        <w:rPr>
          <w:rFonts w:hint="eastAsia" w:ascii="仿宋_GB2312" w:hAnsi="仿宋_GB2312" w:eastAsia="仿宋_GB2312"/>
          <w:sz w:val="32"/>
          <w:szCs w:val="44"/>
        </w:rPr>
        <w:t>高举习近平新时代中国特色社会主义思想伟大旗帜，不忘初心、坚定信心、</w:t>
      </w:r>
      <w:r>
        <w:rPr>
          <w:rFonts w:hint="eastAsia" w:ascii="仿宋_GB2312" w:hAnsi="仿宋_GB2312" w:eastAsia="仿宋_GB2312"/>
          <w:sz w:val="32"/>
          <w:szCs w:val="44"/>
          <w:lang w:val="en-US" w:eastAsia="zh-CN"/>
        </w:rPr>
        <w:t>勠力同心</w:t>
      </w:r>
      <w:bookmarkStart w:id="1" w:name="_GoBack"/>
      <w:bookmarkEnd w:id="1"/>
      <w:r>
        <w:rPr>
          <w:rFonts w:hint="eastAsia" w:ascii="仿宋_GB2312" w:hAnsi="仿宋_GB2312" w:eastAsia="仿宋_GB2312" w:cs="黑体"/>
          <w:kern w:val="0"/>
          <w:sz w:val="32"/>
          <w:szCs w:val="44"/>
          <w:lang w:bidi="ar"/>
        </w:rPr>
        <w:t>，为追赶超越再出发打牢坚实基础！为建设新时代经济强区、品质藁城作出积极贡献！</w:t>
      </w:r>
    </w:p>
    <w:sectPr>
      <w:footerReference r:id="rId3" w:type="default"/>
      <w:pgSz w:w="11850" w:h="16784"/>
      <w:pgMar w:top="1083" w:right="1440" w:bottom="1083" w:left="1440" w:header="851" w:footer="1701" w:gutter="0"/>
      <w:pgNumType w:fmt="numberInDash"/>
      <w:cols w:space="0" w:num="1"/>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方正小标宋简体">
    <w:altName w:val="方正舒体"/>
    <w:panose1 w:val="00000000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15986">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E5FA8D">
                          <w:pPr>
                            <w:pStyle w:val="4"/>
                            <w:rPr>
                              <w:rFonts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EE5FA8D">
                    <w:pPr>
                      <w:pStyle w:val="4"/>
                      <w:rPr>
                        <w:rFonts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A3A1D8F"/>
    <w:multiLevelType w:val="singleLevel"/>
    <w:tmpl w:val="9A3A1D8F"/>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AF20BC"/>
    <w:rsid w:val="000A2C5B"/>
    <w:rsid w:val="0051393C"/>
    <w:rsid w:val="009C5ECA"/>
    <w:rsid w:val="00AF20BC"/>
    <w:rsid w:val="01016BF9"/>
    <w:rsid w:val="030E0B92"/>
    <w:rsid w:val="040D49B4"/>
    <w:rsid w:val="046B5800"/>
    <w:rsid w:val="06C14FD7"/>
    <w:rsid w:val="0A0E58DF"/>
    <w:rsid w:val="0AB45D84"/>
    <w:rsid w:val="0C7E645B"/>
    <w:rsid w:val="0CF90C19"/>
    <w:rsid w:val="0F971136"/>
    <w:rsid w:val="0FCA0DFB"/>
    <w:rsid w:val="1053744F"/>
    <w:rsid w:val="1201555C"/>
    <w:rsid w:val="122E6E35"/>
    <w:rsid w:val="13096970"/>
    <w:rsid w:val="13FA7E60"/>
    <w:rsid w:val="153A5FB2"/>
    <w:rsid w:val="153C40FB"/>
    <w:rsid w:val="15891813"/>
    <w:rsid w:val="16836E60"/>
    <w:rsid w:val="178E199E"/>
    <w:rsid w:val="18141341"/>
    <w:rsid w:val="18D46126"/>
    <w:rsid w:val="19F02DA8"/>
    <w:rsid w:val="1C5B27D2"/>
    <w:rsid w:val="1D751ED0"/>
    <w:rsid w:val="1DDE3631"/>
    <w:rsid w:val="1E81450B"/>
    <w:rsid w:val="1E9D35EC"/>
    <w:rsid w:val="1F06555D"/>
    <w:rsid w:val="21E8242B"/>
    <w:rsid w:val="231A3D1E"/>
    <w:rsid w:val="23E771D4"/>
    <w:rsid w:val="241D033B"/>
    <w:rsid w:val="242D3A9E"/>
    <w:rsid w:val="24E20694"/>
    <w:rsid w:val="24F51FE2"/>
    <w:rsid w:val="25036A8D"/>
    <w:rsid w:val="256A5514"/>
    <w:rsid w:val="27EB5070"/>
    <w:rsid w:val="28FB60FC"/>
    <w:rsid w:val="290C2963"/>
    <w:rsid w:val="299207C0"/>
    <w:rsid w:val="29E508F5"/>
    <w:rsid w:val="2A1758F9"/>
    <w:rsid w:val="2AF35BF0"/>
    <w:rsid w:val="2CDE6592"/>
    <w:rsid w:val="2CEA06DC"/>
    <w:rsid w:val="30DC3E16"/>
    <w:rsid w:val="30FA6AA9"/>
    <w:rsid w:val="3150198C"/>
    <w:rsid w:val="324B521E"/>
    <w:rsid w:val="333447F6"/>
    <w:rsid w:val="33391C43"/>
    <w:rsid w:val="345745FB"/>
    <w:rsid w:val="34A02B50"/>
    <w:rsid w:val="34FB292D"/>
    <w:rsid w:val="35CB0163"/>
    <w:rsid w:val="371D3773"/>
    <w:rsid w:val="3737650F"/>
    <w:rsid w:val="37DA27A1"/>
    <w:rsid w:val="382E5F7F"/>
    <w:rsid w:val="38DF004A"/>
    <w:rsid w:val="393F7912"/>
    <w:rsid w:val="3A5E55AF"/>
    <w:rsid w:val="3AEC050F"/>
    <w:rsid w:val="3AF10B9B"/>
    <w:rsid w:val="3C3E6A4C"/>
    <w:rsid w:val="3CA318FD"/>
    <w:rsid w:val="3DC04F3A"/>
    <w:rsid w:val="40442CD0"/>
    <w:rsid w:val="408578EF"/>
    <w:rsid w:val="40EB70CF"/>
    <w:rsid w:val="41A91D49"/>
    <w:rsid w:val="424B6435"/>
    <w:rsid w:val="434A6AA3"/>
    <w:rsid w:val="43E412B8"/>
    <w:rsid w:val="448D56EA"/>
    <w:rsid w:val="44FF1196"/>
    <w:rsid w:val="462113FA"/>
    <w:rsid w:val="46AC0752"/>
    <w:rsid w:val="46D226FF"/>
    <w:rsid w:val="47DE3404"/>
    <w:rsid w:val="47E503E7"/>
    <w:rsid w:val="4BF14DEB"/>
    <w:rsid w:val="4C0A0A25"/>
    <w:rsid w:val="4C996D9E"/>
    <w:rsid w:val="4D476D61"/>
    <w:rsid w:val="4E3C5A71"/>
    <w:rsid w:val="4EE3418E"/>
    <w:rsid w:val="4FF412F4"/>
    <w:rsid w:val="506F0499"/>
    <w:rsid w:val="51A67339"/>
    <w:rsid w:val="53DC09E3"/>
    <w:rsid w:val="53EB26FE"/>
    <w:rsid w:val="560765B1"/>
    <w:rsid w:val="5692288B"/>
    <w:rsid w:val="572A5A63"/>
    <w:rsid w:val="58C24C09"/>
    <w:rsid w:val="5C9D2F97"/>
    <w:rsid w:val="5D2C370B"/>
    <w:rsid w:val="5D5262AF"/>
    <w:rsid w:val="5DFE5BEA"/>
    <w:rsid w:val="5F8307C5"/>
    <w:rsid w:val="6008065D"/>
    <w:rsid w:val="605A54C6"/>
    <w:rsid w:val="615278B6"/>
    <w:rsid w:val="618B1BAA"/>
    <w:rsid w:val="63114E33"/>
    <w:rsid w:val="64A413BA"/>
    <w:rsid w:val="64F81A07"/>
    <w:rsid w:val="689B6A79"/>
    <w:rsid w:val="69C931D9"/>
    <w:rsid w:val="6A7E6929"/>
    <w:rsid w:val="6A98632A"/>
    <w:rsid w:val="6ABD0569"/>
    <w:rsid w:val="6AD07073"/>
    <w:rsid w:val="6BAC5452"/>
    <w:rsid w:val="6BDD4857"/>
    <w:rsid w:val="6BE02D5B"/>
    <w:rsid w:val="6D477DF9"/>
    <w:rsid w:val="6DB61D95"/>
    <w:rsid w:val="6E35007C"/>
    <w:rsid w:val="6E4F29DC"/>
    <w:rsid w:val="6E7203C7"/>
    <w:rsid w:val="705D7F2B"/>
    <w:rsid w:val="71750684"/>
    <w:rsid w:val="71C155E3"/>
    <w:rsid w:val="72F157EA"/>
    <w:rsid w:val="72F9788C"/>
    <w:rsid w:val="77466919"/>
    <w:rsid w:val="77DC6E6E"/>
    <w:rsid w:val="78A17170"/>
    <w:rsid w:val="795302E2"/>
    <w:rsid w:val="7AFF021E"/>
    <w:rsid w:val="7C5D574B"/>
    <w:rsid w:val="7C732B57"/>
    <w:rsid w:val="7C7F362A"/>
    <w:rsid w:val="7C91280E"/>
    <w:rsid w:val="7CA65C24"/>
    <w:rsid w:val="7CC60B5F"/>
    <w:rsid w:val="7D4D5B3F"/>
    <w:rsid w:val="7DA013CE"/>
    <w:rsid w:val="7ED12F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Body Text Indent"/>
    <w:basedOn w:val="1"/>
    <w:qFormat/>
    <w:uiPriority w:val="0"/>
    <w:pPr>
      <w:spacing w:after="120"/>
      <w:ind w:left="420" w:leftChars="200"/>
    </w:pPr>
  </w:style>
  <w:style w:type="paragraph" w:styleId="3">
    <w:name w:val="Balloon Text"/>
    <w:basedOn w:val="1"/>
    <w:link w:val="14"/>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100" w:beforeAutospacing="1" w:after="100" w:afterAutospacing="1"/>
      <w:jc w:val="left"/>
    </w:pPr>
    <w:rPr>
      <w:rFonts w:cs="Times New Roman"/>
      <w:kern w:val="0"/>
      <w:sz w:val="24"/>
    </w:rPr>
  </w:style>
  <w:style w:type="paragraph" w:styleId="7">
    <w:name w:val="Body Text First Indent 2"/>
    <w:basedOn w:val="2"/>
    <w:qFormat/>
    <w:uiPriority w:val="0"/>
    <w:pPr>
      <w:spacing w:after="0"/>
      <w:ind w:left="200" w:firstLine="200" w:firstLineChars="200"/>
    </w:pPr>
  </w:style>
  <w:style w:type="character" w:styleId="10">
    <w:name w:val="page number"/>
    <w:basedOn w:val="9"/>
    <w:qFormat/>
    <w:uiPriority w:val="0"/>
    <w:rPr>
      <w:rFonts w:hint="default"/>
    </w:rPr>
  </w:style>
  <w:style w:type="paragraph" w:customStyle="1" w:styleId="11">
    <w:name w:val="_Style 7"/>
    <w:basedOn w:val="1"/>
    <w:qFormat/>
    <w:uiPriority w:val="0"/>
  </w:style>
  <w:style w:type="paragraph" w:customStyle="1" w:styleId="12">
    <w:name w:val="普通(网站)1"/>
    <w:basedOn w:val="1"/>
    <w:qFormat/>
    <w:uiPriority w:val="0"/>
    <w:pPr>
      <w:widowControl/>
      <w:spacing w:before="100" w:beforeAutospacing="1" w:after="100" w:afterAutospacing="1"/>
      <w:jc w:val="left"/>
    </w:pPr>
    <w:rPr>
      <w:rFonts w:hint="eastAsia" w:ascii="宋体" w:hAnsi="宋体"/>
      <w:kern w:val="0"/>
      <w:sz w:val="24"/>
    </w:rPr>
  </w:style>
  <w:style w:type="paragraph" w:customStyle="1" w:styleId="13">
    <w:name w:val="纯文本1"/>
    <w:basedOn w:val="1"/>
    <w:qFormat/>
    <w:uiPriority w:val="0"/>
    <w:rPr>
      <w:rFonts w:ascii="宋体" w:hAnsi="Courier New" w:cs="Courier New"/>
      <w:szCs w:val="21"/>
    </w:rPr>
  </w:style>
  <w:style w:type="character" w:customStyle="1" w:styleId="14">
    <w:name w:val="批注框文本 Char"/>
    <w:basedOn w:val="9"/>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11</Pages>
  <Words>6208</Words>
  <Characters>6722</Characters>
  <Lines>5</Lines>
  <Paragraphs>13</Paragraphs>
  <TotalTime>1439</TotalTime>
  <ScaleCrop>false</ScaleCrop>
  <LinksUpToDate>false</LinksUpToDate>
  <CharactersWithSpaces>6745</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 </cp:lastModifiedBy>
  <cp:lastPrinted>2020-02-02T01:20:00Z</cp:lastPrinted>
  <dcterms:modified xsi:type="dcterms:W3CDTF">2024-08-08T02:20:08Z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CD4EBF9D0F034E3F9ABCC2A4D9EB213C_12</vt:lpwstr>
  </property>
</Properties>
</file>